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06AEF7" w14:textId="77777777" w:rsidR="0057415B" w:rsidRDefault="0057415B" w:rsidP="00A33719">
      <w:pPr>
        <w:jc w:val="right"/>
        <w:rPr>
          <w:noProof/>
        </w:rPr>
      </w:pPr>
    </w:p>
    <w:p w14:paraId="3773058F" w14:textId="77777777" w:rsidR="00A33719" w:rsidRDefault="00A33719" w:rsidP="00A33719">
      <w:pPr>
        <w:jc w:val="left"/>
        <w:rPr>
          <w:noProof/>
        </w:rPr>
      </w:pPr>
    </w:p>
    <w:p w14:paraId="52A911E5" w14:textId="77777777" w:rsidR="00A33719" w:rsidRDefault="00A33719" w:rsidP="00A33719">
      <w:pPr>
        <w:jc w:val="left"/>
        <w:rPr>
          <w:noProof/>
        </w:rPr>
      </w:pPr>
    </w:p>
    <w:p w14:paraId="3B205AF4" w14:textId="77777777" w:rsidR="00A33719" w:rsidRDefault="00A33719" w:rsidP="00A33719">
      <w:pPr>
        <w:jc w:val="left"/>
        <w:rPr>
          <w:noProof/>
        </w:rPr>
      </w:pPr>
    </w:p>
    <w:p w14:paraId="634E1788" w14:textId="77777777" w:rsidR="00C413EF" w:rsidRDefault="00C413EF" w:rsidP="00A33719">
      <w:pPr>
        <w:jc w:val="left"/>
        <w:rPr>
          <w:noProof/>
        </w:rPr>
      </w:pPr>
    </w:p>
    <w:p w14:paraId="45E9B4E4" w14:textId="77777777" w:rsidR="00A33719" w:rsidRDefault="00A33719" w:rsidP="00A33719">
      <w:pPr>
        <w:jc w:val="left"/>
        <w:rPr>
          <w:noProof/>
        </w:rPr>
      </w:pPr>
    </w:p>
    <w:p w14:paraId="31CD6BAA" w14:textId="77777777" w:rsidR="00A33719" w:rsidRDefault="00A33719" w:rsidP="00A33719">
      <w:pPr>
        <w:jc w:val="left"/>
        <w:rPr>
          <w:noProof/>
        </w:rPr>
      </w:pPr>
    </w:p>
    <w:p w14:paraId="30A8349F" w14:textId="77777777" w:rsidR="007C0E10" w:rsidRDefault="007C0E10" w:rsidP="00A33719">
      <w:pPr>
        <w:jc w:val="center"/>
        <w:rPr>
          <w:rFonts w:cs="Arial"/>
          <w:b/>
          <w:bCs/>
          <w:color w:val="000000"/>
          <w:sz w:val="32"/>
          <w:szCs w:val="32"/>
        </w:rPr>
      </w:pPr>
      <w:r>
        <w:rPr>
          <w:rFonts w:cs="Arial"/>
          <w:b/>
          <w:bCs/>
          <w:color w:val="000000"/>
          <w:sz w:val="32"/>
          <w:szCs w:val="32"/>
        </w:rPr>
        <w:t>North East Lincolnshire Clinical Commissioning Group</w:t>
      </w:r>
    </w:p>
    <w:p w14:paraId="3FF785C3" w14:textId="77777777" w:rsidR="00A33719" w:rsidRPr="003D4B95" w:rsidRDefault="00A33719" w:rsidP="00A33719">
      <w:pPr>
        <w:jc w:val="center"/>
        <w:rPr>
          <w:sz w:val="32"/>
          <w:szCs w:val="32"/>
        </w:rPr>
      </w:pPr>
      <w:r w:rsidRPr="003D4B95">
        <w:rPr>
          <w:rFonts w:cs="Arial"/>
          <w:b/>
          <w:bCs/>
          <w:color w:val="000000"/>
          <w:sz w:val="32"/>
          <w:szCs w:val="32"/>
        </w:rPr>
        <w:t>Continuing Healthcare Overarching Policy</w:t>
      </w:r>
    </w:p>
    <w:p w14:paraId="15D3670E" w14:textId="77777777" w:rsidR="0057415B" w:rsidRDefault="0057415B"/>
    <w:p w14:paraId="6A253610" w14:textId="77777777" w:rsidR="0057415B" w:rsidRDefault="0057415B"/>
    <w:p w14:paraId="3097E392" w14:textId="77777777" w:rsidR="0002358B" w:rsidRDefault="0002358B"/>
    <w:p w14:paraId="4E02371F" w14:textId="77777777" w:rsidR="0002358B" w:rsidRDefault="0002358B"/>
    <w:p w14:paraId="46098D5B" w14:textId="77777777" w:rsidR="0002358B" w:rsidRDefault="0002358B"/>
    <w:p w14:paraId="7780C7E1" w14:textId="77777777" w:rsidR="0002358B" w:rsidRDefault="0002358B"/>
    <w:p w14:paraId="2280EB31" w14:textId="77777777" w:rsidR="0002358B" w:rsidRDefault="0002358B"/>
    <w:p w14:paraId="46CB725E" w14:textId="77777777" w:rsidR="0002358B" w:rsidRDefault="0002358B"/>
    <w:p w14:paraId="05EF6980" w14:textId="77777777" w:rsidR="0002358B" w:rsidRDefault="0002358B"/>
    <w:p w14:paraId="4CAF15D0" w14:textId="77777777" w:rsidR="0002358B" w:rsidRDefault="0002358B"/>
    <w:p w14:paraId="73E49CE2" w14:textId="77777777" w:rsidR="0002358B" w:rsidRDefault="0002358B"/>
    <w:p w14:paraId="24637F84" w14:textId="77777777" w:rsidR="0002358B" w:rsidRDefault="0002358B"/>
    <w:p w14:paraId="181FB6B5" w14:textId="77777777" w:rsidR="0002358B" w:rsidRDefault="0002358B"/>
    <w:p w14:paraId="13B109BC" w14:textId="77777777" w:rsidR="0002358B" w:rsidRDefault="0002358B"/>
    <w:p w14:paraId="09CF2BD2" w14:textId="77777777" w:rsidR="0002358B" w:rsidRDefault="0002358B"/>
    <w:p w14:paraId="6BD0C571" w14:textId="77777777" w:rsidR="0002358B" w:rsidRDefault="0002358B"/>
    <w:p w14:paraId="43337C0F" w14:textId="77777777" w:rsidR="0002358B" w:rsidRDefault="0002358B"/>
    <w:p w14:paraId="292B169B" w14:textId="77777777" w:rsidR="0002358B" w:rsidRDefault="0002358B"/>
    <w:p w14:paraId="750EF2E6" w14:textId="77777777" w:rsidR="0002358B" w:rsidRDefault="0002358B"/>
    <w:p w14:paraId="59896367" w14:textId="77777777" w:rsidR="0002358B" w:rsidRDefault="0002358B"/>
    <w:p w14:paraId="06B75E62" w14:textId="77777777" w:rsidR="0002358B" w:rsidRDefault="0002358B"/>
    <w:p w14:paraId="43AC81A9" w14:textId="77777777" w:rsidR="0002358B" w:rsidRDefault="0002358B"/>
    <w:p w14:paraId="4BF702BE" w14:textId="77777777" w:rsidR="0002358B" w:rsidRDefault="0002358B"/>
    <w:p w14:paraId="5E30FE66" w14:textId="77777777" w:rsidR="0002358B" w:rsidRDefault="0002358B"/>
    <w:p w14:paraId="189C84EB" w14:textId="77777777" w:rsidR="0002358B" w:rsidRDefault="0002358B"/>
    <w:p w14:paraId="47A3FA7F" w14:textId="77777777" w:rsidR="0002358B" w:rsidRDefault="0002358B"/>
    <w:p w14:paraId="78CDACC8" w14:textId="77777777" w:rsidR="0057415B" w:rsidRDefault="0057415B">
      <w:pPr>
        <w:spacing w:line="276" w:lineRule="auto"/>
        <w:jc w:val="left"/>
        <w:rPr>
          <w:rFonts w:eastAsia="Calibri" w:cs="Arial"/>
          <w:color w:val="000000"/>
          <w:szCs w:val="22"/>
          <w:lang w:eastAsia="en-US"/>
        </w:rPr>
      </w:pPr>
    </w:p>
    <w:p w14:paraId="056A5BE9" w14:textId="77777777" w:rsidR="005C4F79" w:rsidRDefault="005C4F79">
      <w:pPr>
        <w:spacing w:line="276" w:lineRule="auto"/>
        <w:jc w:val="left"/>
        <w:rPr>
          <w:rFonts w:eastAsia="Calibri" w:cs="Arial"/>
          <w:color w:val="000000"/>
          <w:szCs w:val="22"/>
          <w:lang w:eastAsia="en-US"/>
        </w:rPr>
      </w:pP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5158"/>
        <w:gridCol w:w="5036"/>
      </w:tblGrid>
      <w:tr w:rsidR="0002358B" w:rsidRPr="005646F5" w14:paraId="5029E428" w14:textId="77777777" w:rsidTr="00454E7D">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30" w:type="pct"/>
            <w:tcBorders>
              <w:left w:val="none" w:sz="0" w:space="0" w:color="auto"/>
              <w:bottom w:val="none" w:sz="0" w:space="0" w:color="auto"/>
              <w:right w:val="none" w:sz="0" w:space="0" w:color="auto"/>
            </w:tcBorders>
          </w:tcPr>
          <w:p w14:paraId="5C54B8CF" w14:textId="77777777" w:rsidR="0002358B" w:rsidRPr="005646F5" w:rsidRDefault="0002358B" w:rsidP="002C17BA">
            <w:pPr>
              <w:rPr>
                <w:rFonts w:cs="Arial"/>
                <w:b w:val="0"/>
                <w:szCs w:val="22"/>
              </w:rPr>
            </w:pPr>
            <w:r w:rsidRPr="005646F5">
              <w:rPr>
                <w:rFonts w:cs="Arial"/>
                <w:szCs w:val="22"/>
              </w:rPr>
              <w:t xml:space="preserve">Document </w:t>
            </w:r>
            <w:r>
              <w:rPr>
                <w:rFonts w:cs="Arial"/>
                <w:szCs w:val="22"/>
              </w:rPr>
              <w:t>Title:</w:t>
            </w:r>
          </w:p>
        </w:tc>
        <w:tc>
          <w:tcPr>
            <w:cnfStyle w:val="000001000000" w:firstRow="0" w:lastRow="0" w:firstColumn="0" w:lastColumn="0" w:oddVBand="0" w:evenVBand="1" w:oddHBand="0" w:evenHBand="0" w:firstRowFirstColumn="0" w:firstRowLastColumn="0" w:lastRowFirstColumn="0" w:lastRowLastColumn="0"/>
            <w:tcW w:w="2470" w:type="pct"/>
            <w:tcBorders>
              <w:left w:val="none" w:sz="0" w:space="0" w:color="auto"/>
              <w:bottom w:val="none" w:sz="0" w:space="0" w:color="auto"/>
              <w:right w:val="none" w:sz="0" w:space="0" w:color="auto"/>
            </w:tcBorders>
          </w:tcPr>
          <w:p w14:paraId="3942BBC2" w14:textId="77777777" w:rsidR="0002358B" w:rsidRPr="006E379F" w:rsidRDefault="0002358B" w:rsidP="002C17BA">
            <w:pPr>
              <w:rPr>
                <w:rFonts w:cs="Arial"/>
                <w:szCs w:val="22"/>
              </w:rPr>
            </w:pPr>
            <w:r>
              <w:rPr>
                <w:rFonts w:cs="Arial"/>
                <w:szCs w:val="22"/>
              </w:rPr>
              <w:t>Continuing Healthcare Overarching Policy</w:t>
            </w:r>
          </w:p>
        </w:tc>
      </w:tr>
      <w:tr w:rsidR="0002358B" w:rsidRPr="005646F5" w14:paraId="2F45C42F" w14:textId="77777777" w:rsidTr="00454E7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30" w:type="pct"/>
            <w:tcBorders>
              <w:top w:val="none" w:sz="0" w:space="0" w:color="auto"/>
              <w:left w:val="none" w:sz="0" w:space="0" w:color="auto"/>
              <w:bottom w:val="none" w:sz="0" w:space="0" w:color="auto"/>
              <w:right w:val="none" w:sz="0" w:space="0" w:color="auto"/>
            </w:tcBorders>
          </w:tcPr>
          <w:p w14:paraId="7222B4D6" w14:textId="77777777" w:rsidR="0002358B" w:rsidRPr="005646F5" w:rsidRDefault="0002358B" w:rsidP="002C17BA">
            <w:pPr>
              <w:rPr>
                <w:rFonts w:cs="Arial"/>
                <w:b/>
                <w:szCs w:val="22"/>
              </w:rPr>
            </w:pPr>
            <w:r>
              <w:rPr>
                <w:rFonts w:cs="Arial"/>
                <w:b/>
                <w:szCs w:val="22"/>
              </w:rPr>
              <w:t>Version No:</w:t>
            </w:r>
          </w:p>
        </w:tc>
        <w:tc>
          <w:tcPr>
            <w:cnfStyle w:val="000001000000" w:firstRow="0" w:lastRow="0" w:firstColumn="0" w:lastColumn="0" w:oddVBand="0" w:evenVBand="1" w:oddHBand="0" w:evenHBand="0" w:firstRowFirstColumn="0" w:firstRowLastColumn="0" w:lastRowFirstColumn="0" w:lastRowLastColumn="0"/>
            <w:tcW w:w="2470" w:type="pct"/>
            <w:tcBorders>
              <w:top w:val="none" w:sz="0" w:space="0" w:color="auto"/>
              <w:left w:val="none" w:sz="0" w:space="0" w:color="auto"/>
              <w:bottom w:val="none" w:sz="0" w:space="0" w:color="auto"/>
              <w:right w:val="none" w:sz="0" w:space="0" w:color="auto"/>
            </w:tcBorders>
          </w:tcPr>
          <w:p w14:paraId="38805B92" w14:textId="37F4CC50" w:rsidR="0002358B" w:rsidRPr="001B2B0C" w:rsidRDefault="00E15FDF" w:rsidP="002C17BA">
            <w:pPr>
              <w:rPr>
                <w:rFonts w:cs="Arial"/>
                <w:color w:val="FF0000"/>
                <w:szCs w:val="22"/>
              </w:rPr>
            </w:pPr>
            <w:r>
              <w:rPr>
                <w:rFonts w:cs="Arial"/>
                <w:szCs w:val="22"/>
              </w:rPr>
              <w:t>5</w:t>
            </w:r>
            <w:r w:rsidR="0002358B" w:rsidRPr="0002358B">
              <w:rPr>
                <w:rFonts w:cs="Arial"/>
                <w:szCs w:val="22"/>
              </w:rPr>
              <w:t>.0</w:t>
            </w:r>
          </w:p>
        </w:tc>
      </w:tr>
      <w:tr w:rsidR="0002358B" w:rsidRPr="005646F5" w14:paraId="3E0D2596" w14:textId="77777777" w:rsidTr="00454E7D">
        <w:tc>
          <w:tcPr>
            <w:cnfStyle w:val="000010000000" w:firstRow="0" w:lastRow="0" w:firstColumn="0" w:lastColumn="0" w:oddVBand="1" w:evenVBand="0" w:oddHBand="0" w:evenHBand="0" w:firstRowFirstColumn="0" w:firstRowLastColumn="0" w:lastRowFirstColumn="0" w:lastRowLastColumn="0"/>
            <w:tcW w:w="2530" w:type="pct"/>
            <w:tcBorders>
              <w:left w:val="none" w:sz="0" w:space="0" w:color="auto"/>
              <w:right w:val="none" w:sz="0" w:space="0" w:color="auto"/>
            </w:tcBorders>
          </w:tcPr>
          <w:p w14:paraId="2284183E" w14:textId="77777777" w:rsidR="0002358B" w:rsidRPr="0085705B" w:rsidRDefault="0002358B" w:rsidP="002C17BA">
            <w:pPr>
              <w:rPr>
                <w:rFonts w:cs="Arial"/>
                <w:b/>
                <w:szCs w:val="22"/>
              </w:rPr>
            </w:pPr>
            <w:r>
              <w:rPr>
                <w:rFonts w:cs="Arial"/>
                <w:b/>
                <w:szCs w:val="22"/>
              </w:rPr>
              <w:t xml:space="preserve">Latest version issued: </w:t>
            </w:r>
          </w:p>
        </w:tc>
        <w:tc>
          <w:tcPr>
            <w:cnfStyle w:val="000001000000" w:firstRow="0" w:lastRow="0" w:firstColumn="0" w:lastColumn="0" w:oddVBand="0" w:evenVBand="1" w:oddHBand="0" w:evenHBand="0" w:firstRowFirstColumn="0" w:firstRowLastColumn="0" w:lastRowFirstColumn="0" w:lastRowLastColumn="0"/>
            <w:tcW w:w="2470" w:type="pct"/>
            <w:tcBorders>
              <w:left w:val="none" w:sz="0" w:space="0" w:color="auto"/>
              <w:right w:val="none" w:sz="0" w:space="0" w:color="auto"/>
            </w:tcBorders>
          </w:tcPr>
          <w:p w14:paraId="40A2BBD8" w14:textId="09815631" w:rsidR="0002358B" w:rsidRDefault="00A71CEB" w:rsidP="002C17BA">
            <w:pPr>
              <w:rPr>
                <w:rFonts w:cs="Arial"/>
                <w:szCs w:val="22"/>
              </w:rPr>
            </w:pPr>
            <w:r>
              <w:rPr>
                <w:rFonts w:cs="Arial"/>
                <w:szCs w:val="22"/>
              </w:rPr>
              <w:t>26 November 2021</w:t>
            </w:r>
          </w:p>
        </w:tc>
      </w:tr>
      <w:tr w:rsidR="0002358B" w:rsidRPr="005646F5" w14:paraId="2166837B" w14:textId="77777777" w:rsidTr="00454E7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30" w:type="pct"/>
            <w:tcBorders>
              <w:top w:val="none" w:sz="0" w:space="0" w:color="auto"/>
              <w:left w:val="none" w:sz="0" w:space="0" w:color="auto"/>
              <w:bottom w:val="none" w:sz="0" w:space="0" w:color="auto"/>
              <w:right w:val="none" w:sz="0" w:space="0" w:color="auto"/>
            </w:tcBorders>
          </w:tcPr>
          <w:p w14:paraId="1967B659" w14:textId="77777777" w:rsidR="0002358B" w:rsidRPr="005646F5" w:rsidRDefault="0002358B" w:rsidP="002C17BA">
            <w:pPr>
              <w:rPr>
                <w:rFonts w:cs="Arial"/>
                <w:b/>
                <w:szCs w:val="22"/>
              </w:rPr>
            </w:pPr>
            <w:r w:rsidRPr="0085705B">
              <w:rPr>
                <w:rFonts w:cs="Arial"/>
                <w:b/>
                <w:szCs w:val="22"/>
              </w:rPr>
              <w:t>Supersedes</w:t>
            </w:r>
            <w:r>
              <w:rPr>
                <w:rFonts w:cs="Arial"/>
                <w:b/>
                <w:szCs w:val="22"/>
              </w:rPr>
              <w:t>:</w:t>
            </w:r>
          </w:p>
        </w:tc>
        <w:tc>
          <w:tcPr>
            <w:cnfStyle w:val="000001000000" w:firstRow="0" w:lastRow="0" w:firstColumn="0" w:lastColumn="0" w:oddVBand="0" w:evenVBand="1" w:oddHBand="0" w:evenHBand="0" w:firstRowFirstColumn="0" w:firstRowLastColumn="0" w:lastRowFirstColumn="0" w:lastRowLastColumn="0"/>
            <w:tcW w:w="2470" w:type="pct"/>
            <w:tcBorders>
              <w:top w:val="none" w:sz="0" w:space="0" w:color="auto"/>
              <w:left w:val="none" w:sz="0" w:space="0" w:color="auto"/>
              <w:bottom w:val="none" w:sz="0" w:space="0" w:color="auto"/>
              <w:right w:val="none" w:sz="0" w:space="0" w:color="auto"/>
            </w:tcBorders>
          </w:tcPr>
          <w:p w14:paraId="3ACB396B" w14:textId="778A3BC9" w:rsidR="0002358B" w:rsidRPr="005646F5" w:rsidRDefault="0002358B" w:rsidP="002C17BA">
            <w:pPr>
              <w:rPr>
                <w:rFonts w:cs="Arial"/>
                <w:szCs w:val="22"/>
              </w:rPr>
            </w:pPr>
            <w:r>
              <w:rPr>
                <w:rFonts w:cs="Arial"/>
                <w:szCs w:val="22"/>
              </w:rPr>
              <w:t>V</w:t>
            </w:r>
            <w:r w:rsidR="00E15FDF">
              <w:rPr>
                <w:rFonts w:cs="Arial"/>
                <w:szCs w:val="22"/>
              </w:rPr>
              <w:t>4.0</w:t>
            </w:r>
          </w:p>
        </w:tc>
      </w:tr>
      <w:tr w:rsidR="0002358B" w:rsidRPr="005646F5" w14:paraId="3C39CB7C" w14:textId="77777777" w:rsidTr="00454E7D">
        <w:tc>
          <w:tcPr>
            <w:cnfStyle w:val="000010000000" w:firstRow="0" w:lastRow="0" w:firstColumn="0" w:lastColumn="0" w:oddVBand="1" w:evenVBand="0" w:oddHBand="0" w:evenHBand="0" w:firstRowFirstColumn="0" w:firstRowLastColumn="0" w:lastRowFirstColumn="0" w:lastRowLastColumn="0"/>
            <w:tcW w:w="2530" w:type="pct"/>
            <w:tcBorders>
              <w:left w:val="none" w:sz="0" w:space="0" w:color="auto"/>
              <w:right w:val="none" w:sz="0" w:space="0" w:color="auto"/>
            </w:tcBorders>
          </w:tcPr>
          <w:p w14:paraId="74CED5B4" w14:textId="77777777" w:rsidR="0002358B" w:rsidRDefault="0002358B" w:rsidP="002C17BA">
            <w:pPr>
              <w:rPr>
                <w:rFonts w:cs="Arial"/>
                <w:b/>
                <w:szCs w:val="22"/>
              </w:rPr>
            </w:pPr>
            <w:r>
              <w:rPr>
                <w:rFonts w:cs="Arial"/>
                <w:b/>
                <w:szCs w:val="22"/>
              </w:rPr>
              <w:t>Name of Author (s):</w:t>
            </w:r>
          </w:p>
        </w:tc>
        <w:tc>
          <w:tcPr>
            <w:cnfStyle w:val="000001000000" w:firstRow="0" w:lastRow="0" w:firstColumn="0" w:lastColumn="0" w:oddVBand="0" w:evenVBand="1" w:oddHBand="0" w:evenHBand="0" w:firstRowFirstColumn="0" w:firstRowLastColumn="0" w:lastRowFirstColumn="0" w:lastRowLastColumn="0"/>
            <w:tcW w:w="2470" w:type="pct"/>
            <w:tcBorders>
              <w:left w:val="none" w:sz="0" w:space="0" w:color="auto"/>
              <w:right w:val="none" w:sz="0" w:space="0" w:color="auto"/>
            </w:tcBorders>
          </w:tcPr>
          <w:p w14:paraId="3DE95A4B" w14:textId="77777777" w:rsidR="0002358B" w:rsidRPr="00AE693E" w:rsidRDefault="0002358B" w:rsidP="002C17BA">
            <w:pPr>
              <w:rPr>
                <w:rFonts w:cs="Arial"/>
                <w:color w:val="FF0000"/>
                <w:szCs w:val="22"/>
              </w:rPr>
            </w:pPr>
            <w:r w:rsidRPr="0002358B">
              <w:rPr>
                <w:rFonts w:cs="Arial"/>
                <w:szCs w:val="22"/>
              </w:rPr>
              <w:t>Julie Elliott</w:t>
            </w:r>
          </w:p>
        </w:tc>
      </w:tr>
      <w:tr w:rsidR="0002358B" w:rsidRPr="005646F5" w14:paraId="57135F84" w14:textId="77777777" w:rsidTr="00454E7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30" w:type="pct"/>
            <w:tcBorders>
              <w:top w:val="none" w:sz="0" w:space="0" w:color="auto"/>
              <w:left w:val="none" w:sz="0" w:space="0" w:color="auto"/>
              <w:bottom w:val="none" w:sz="0" w:space="0" w:color="auto"/>
              <w:right w:val="none" w:sz="0" w:space="0" w:color="auto"/>
            </w:tcBorders>
          </w:tcPr>
          <w:p w14:paraId="10401E87" w14:textId="77777777" w:rsidR="0002358B" w:rsidRDefault="0002358B" w:rsidP="002C17BA">
            <w:pPr>
              <w:rPr>
                <w:rFonts w:cs="Arial"/>
                <w:b/>
                <w:szCs w:val="22"/>
              </w:rPr>
            </w:pPr>
            <w:r>
              <w:rPr>
                <w:rFonts w:cs="Arial"/>
                <w:b/>
                <w:szCs w:val="22"/>
              </w:rPr>
              <w:t>Consultation:</w:t>
            </w:r>
          </w:p>
        </w:tc>
        <w:tc>
          <w:tcPr>
            <w:cnfStyle w:val="000001000000" w:firstRow="0" w:lastRow="0" w:firstColumn="0" w:lastColumn="0" w:oddVBand="0" w:evenVBand="1" w:oddHBand="0" w:evenHBand="0" w:firstRowFirstColumn="0" w:firstRowLastColumn="0" w:lastRowFirstColumn="0" w:lastRowLastColumn="0"/>
            <w:tcW w:w="2470" w:type="pct"/>
            <w:tcBorders>
              <w:top w:val="none" w:sz="0" w:space="0" w:color="auto"/>
              <w:left w:val="none" w:sz="0" w:space="0" w:color="auto"/>
              <w:bottom w:val="none" w:sz="0" w:space="0" w:color="auto"/>
              <w:right w:val="none" w:sz="0" w:space="0" w:color="auto"/>
            </w:tcBorders>
          </w:tcPr>
          <w:p w14:paraId="06DFE9A7" w14:textId="77777777" w:rsidR="0002358B" w:rsidRPr="00997B84" w:rsidRDefault="0002358B" w:rsidP="0002358B">
            <w:pPr>
              <w:rPr>
                <w:rFonts w:cs="Arial"/>
                <w:szCs w:val="22"/>
              </w:rPr>
            </w:pPr>
            <w:r w:rsidRPr="00997B84">
              <w:rPr>
                <w:rFonts w:cs="Arial"/>
                <w:szCs w:val="22"/>
              </w:rPr>
              <w:t>EQIA Panel</w:t>
            </w:r>
            <w:r>
              <w:rPr>
                <w:rFonts w:cs="Arial"/>
                <w:szCs w:val="22"/>
              </w:rPr>
              <w:t xml:space="preserve"> </w:t>
            </w:r>
          </w:p>
        </w:tc>
      </w:tr>
      <w:tr w:rsidR="0002358B" w:rsidRPr="005646F5" w14:paraId="63DF9056" w14:textId="77777777" w:rsidTr="00454E7D">
        <w:tc>
          <w:tcPr>
            <w:cnfStyle w:val="000010000000" w:firstRow="0" w:lastRow="0" w:firstColumn="0" w:lastColumn="0" w:oddVBand="1" w:evenVBand="0" w:oddHBand="0" w:evenHBand="0" w:firstRowFirstColumn="0" w:firstRowLastColumn="0" w:lastRowFirstColumn="0" w:lastRowLastColumn="0"/>
            <w:tcW w:w="2530" w:type="pct"/>
            <w:tcBorders>
              <w:left w:val="none" w:sz="0" w:space="0" w:color="auto"/>
              <w:right w:val="none" w:sz="0" w:space="0" w:color="auto"/>
            </w:tcBorders>
          </w:tcPr>
          <w:p w14:paraId="1D443F78" w14:textId="77777777" w:rsidR="0002358B" w:rsidRDefault="0002358B" w:rsidP="002C17BA">
            <w:pPr>
              <w:rPr>
                <w:rFonts w:cs="Arial"/>
                <w:b/>
                <w:szCs w:val="22"/>
              </w:rPr>
            </w:pPr>
            <w:r>
              <w:rPr>
                <w:rFonts w:cs="Arial"/>
                <w:b/>
                <w:szCs w:val="22"/>
              </w:rPr>
              <w:t>Approved by:</w:t>
            </w:r>
          </w:p>
        </w:tc>
        <w:tc>
          <w:tcPr>
            <w:cnfStyle w:val="000001000000" w:firstRow="0" w:lastRow="0" w:firstColumn="0" w:lastColumn="0" w:oddVBand="0" w:evenVBand="1" w:oddHBand="0" w:evenHBand="0" w:firstRowFirstColumn="0" w:firstRowLastColumn="0" w:lastRowFirstColumn="0" w:lastRowLastColumn="0"/>
            <w:tcW w:w="2470" w:type="pct"/>
            <w:tcBorders>
              <w:left w:val="none" w:sz="0" w:space="0" w:color="auto"/>
              <w:right w:val="none" w:sz="0" w:space="0" w:color="auto"/>
            </w:tcBorders>
          </w:tcPr>
          <w:p w14:paraId="5E43A360" w14:textId="77777777" w:rsidR="0002358B" w:rsidRPr="00997B84" w:rsidRDefault="0002358B" w:rsidP="002C17BA">
            <w:pPr>
              <w:rPr>
                <w:rFonts w:cs="Arial"/>
                <w:szCs w:val="22"/>
              </w:rPr>
            </w:pPr>
            <w:r>
              <w:rPr>
                <w:rFonts w:cs="Arial"/>
                <w:szCs w:val="22"/>
              </w:rPr>
              <w:t>Care Contracting Committee</w:t>
            </w:r>
          </w:p>
        </w:tc>
      </w:tr>
      <w:tr w:rsidR="0002358B" w:rsidRPr="005646F5" w14:paraId="3BA623A2" w14:textId="77777777" w:rsidTr="00454E7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30" w:type="pct"/>
            <w:tcBorders>
              <w:top w:val="none" w:sz="0" w:space="0" w:color="auto"/>
              <w:left w:val="none" w:sz="0" w:space="0" w:color="auto"/>
              <w:bottom w:val="none" w:sz="0" w:space="0" w:color="auto"/>
              <w:right w:val="none" w:sz="0" w:space="0" w:color="auto"/>
            </w:tcBorders>
          </w:tcPr>
          <w:p w14:paraId="12B113C1" w14:textId="77777777" w:rsidR="0002358B" w:rsidRPr="001B2B0C" w:rsidRDefault="0002358B" w:rsidP="002C17BA">
            <w:pPr>
              <w:rPr>
                <w:rFonts w:cs="Arial"/>
                <w:b/>
                <w:szCs w:val="22"/>
              </w:rPr>
            </w:pPr>
            <w:r w:rsidRPr="001B2B0C">
              <w:rPr>
                <w:rFonts w:cs="Arial"/>
                <w:b/>
                <w:szCs w:val="22"/>
              </w:rPr>
              <w:t>Approval date:</w:t>
            </w:r>
          </w:p>
        </w:tc>
        <w:tc>
          <w:tcPr>
            <w:cnfStyle w:val="000001000000" w:firstRow="0" w:lastRow="0" w:firstColumn="0" w:lastColumn="0" w:oddVBand="0" w:evenVBand="1" w:oddHBand="0" w:evenHBand="0" w:firstRowFirstColumn="0" w:firstRowLastColumn="0" w:lastRowFirstColumn="0" w:lastRowLastColumn="0"/>
            <w:tcW w:w="2470" w:type="pct"/>
            <w:tcBorders>
              <w:top w:val="none" w:sz="0" w:space="0" w:color="auto"/>
              <w:left w:val="none" w:sz="0" w:space="0" w:color="auto"/>
              <w:bottom w:val="none" w:sz="0" w:space="0" w:color="auto"/>
              <w:right w:val="none" w:sz="0" w:space="0" w:color="auto"/>
            </w:tcBorders>
          </w:tcPr>
          <w:p w14:paraId="2E4F84CB" w14:textId="77777777" w:rsidR="0002358B" w:rsidRPr="00997B84" w:rsidRDefault="0002358B" w:rsidP="002C17BA">
            <w:pPr>
              <w:rPr>
                <w:rFonts w:cs="Arial"/>
                <w:szCs w:val="22"/>
              </w:rPr>
            </w:pPr>
            <w:r>
              <w:rPr>
                <w:rFonts w:cs="Arial"/>
                <w:szCs w:val="22"/>
              </w:rPr>
              <w:t>21 August 2018</w:t>
            </w:r>
          </w:p>
        </w:tc>
      </w:tr>
      <w:tr w:rsidR="0002358B" w:rsidRPr="005646F5" w14:paraId="15B3C01F" w14:textId="77777777" w:rsidTr="00454E7D">
        <w:tc>
          <w:tcPr>
            <w:cnfStyle w:val="000010000000" w:firstRow="0" w:lastRow="0" w:firstColumn="0" w:lastColumn="0" w:oddVBand="1" w:evenVBand="0" w:oddHBand="0" w:evenHBand="0" w:firstRowFirstColumn="0" w:firstRowLastColumn="0" w:lastRowFirstColumn="0" w:lastRowLastColumn="0"/>
            <w:tcW w:w="2530" w:type="pct"/>
            <w:tcBorders>
              <w:left w:val="none" w:sz="0" w:space="0" w:color="auto"/>
              <w:right w:val="none" w:sz="0" w:space="0" w:color="auto"/>
            </w:tcBorders>
          </w:tcPr>
          <w:p w14:paraId="6FB1C70E" w14:textId="77777777" w:rsidR="0002358B" w:rsidRPr="005646F5" w:rsidRDefault="0002358B" w:rsidP="002C17BA">
            <w:pPr>
              <w:rPr>
                <w:rFonts w:cs="Arial"/>
                <w:b/>
                <w:szCs w:val="22"/>
              </w:rPr>
            </w:pPr>
            <w:r>
              <w:rPr>
                <w:rFonts w:cs="Arial"/>
                <w:b/>
                <w:szCs w:val="22"/>
              </w:rPr>
              <w:t>Review date:</w:t>
            </w:r>
          </w:p>
        </w:tc>
        <w:tc>
          <w:tcPr>
            <w:cnfStyle w:val="000001000000" w:firstRow="0" w:lastRow="0" w:firstColumn="0" w:lastColumn="0" w:oddVBand="0" w:evenVBand="1" w:oddHBand="0" w:evenHBand="0" w:firstRowFirstColumn="0" w:firstRowLastColumn="0" w:lastRowFirstColumn="0" w:lastRowLastColumn="0"/>
            <w:tcW w:w="2470" w:type="pct"/>
            <w:tcBorders>
              <w:left w:val="none" w:sz="0" w:space="0" w:color="auto"/>
              <w:right w:val="none" w:sz="0" w:space="0" w:color="auto"/>
            </w:tcBorders>
          </w:tcPr>
          <w:p w14:paraId="122E4FB0" w14:textId="57AA7724" w:rsidR="0002358B" w:rsidRPr="005646F5" w:rsidRDefault="0002358B" w:rsidP="002C17BA">
            <w:pPr>
              <w:rPr>
                <w:rFonts w:cs="Arial"/>
                <w:szCs w:val="22"/>
              </w:rPr>
            </w:pPr>
            <w:r>
              <w:rPr>
                <w:rFonts w:cs="Arial"/>
                <w:szCs w:val="22"/>
              </w:rPr>
              <w:t>1 December 202</w:t>
            </w:r>
            <w:r w:rsidR="00A71CEB">
              <w:rPr>
                <w:rFonts w:cs="Arial"/>
                <w:szCs w:val="22"/>
              </w:rPr>
              <w:t>3</w:t>
            </w:r>
          </w:p>
        </w:tc>
      </w:tr>
      <w:tr w:rsidR="0002358B" w:rsidRPr="005646F5" w14:paraId="22069AA4" w14:textId="77777777" w:rsidTr="00454E7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30" w:type="pct"/>
            <w:tcBorders>
              <w:top w:val="none" w:sz="0" w:space="0" w:color="auto"/>
              <w:left w:val="none" w:sz="0" w:space="0" w:color="auto"/>
              <w:bottom w:val="none" w:sz="0" w:space="0" w:color="auto"/>
              <w:right w:val="none" w:sz="0" w:space="0" w:color="auto"/>
            </w:tcBorders>
          </w:tcPr>
          <w:p w14:paraId="2BDE2D0B" w14:textId="77777777" w:rsidR="0002358B" w:rsidRPr="001B2B0C" w:rsidRDefault="0002358B" w:rsidP="002C17BA">
            <w:pPr>
              <w:rPr>
                <w:rFonts w:cs="Arial"/>
                <w:b/>
                <w:szCs w:val="22"/>
              </w:rPr>
            </w:pPr>
            <w:r w:rsidRPr="001B2B0C">
              <w:rPr>
                <w:rFonts w:cs="Arial"/>
                <w:b/>
                <w:szCs w:val="22"/>
              </w:rPr>
              <w:t>Equality Impact Assessment Date:</w:t>
            </w:r>
          </w:p>
        </w:tc>
        <w:tc>
          <w:tcPr>
            <w:cnfStyle w:val="000001000000" w:firstRow="0" w:lastRow="0" w:firstColumn="0" w:lastColumn="0" w:oddVBand="0" w:evenVBand="1" w:oddHBand="0" w:evenHBand="0" w:firstRowFirstColumn="0" w:firstRowLastColumn="0" w:lastRowFirstColumn="0" w:lastRowLastColumn="0"/>
            <w:tcW w:w="2470" w:type="pct"/>
            <w:tcBorders>
              <w:top w:val="none" w:sz="0" w:space="0" w:color="auto"/>
              <w:left w:val="none" w:sz="0" w:space="0" w:color="auto"/>
              <w:bottom w:val="none" w:sz="0" w:space="0" w:color="auto"/>
              <w:right w:val="none" w:sz="0" w:space="0" w:color="auto"/>
            </w:tcBorders>
          </w:tcPr>
          <w:p w14:paraId="0572D94A" w14:textId="77777777" w:rsidR="0002358B" w:rsidRPr="005646F5" w:rsidRDefault="0002358B" w:rsidP="002C17BA">
            <w:pPr>
              <w:rPr>
                <w:rFonts w:cs="Arial"/>
                <w:szCs w:val="22"/>
              </w:rPr>
            </w:pPr>
            <w:r>
              <w:rPr>
                <w:rFonts w:cs="Arial"/>
                <w:szCs w:val="22"/>
              </w:rPr>
              <w:t>August 2018</w:t>
            </w:r>
          </w:p>
        </w:tc>
      </w:tr>
      <w:tr w:rsidR="0002358B" w:rsidRPr="005646F5" w14:paraId="05DA7BC7" w14:textId="77777777" w:rsidTr="00454E7D">
        <w:tc>
          <w:tcPr>
            <w:cnfStyle w:val="000010000000" w:firstRow="0" w:lastRow="0" w:firstColumn="0" w:lastColumn="0" w:oddVBand="1" w:evenVBand="0" w:oddHBand="0" w:evenHBand="0" w:firstRowFirstColumn="0" w:firstRowLastColumn="0" w:lastRowFirstColumn="0" w:lastRowLastColumn="0"/>
            <w:tcW w:w="2530" w:type="pct"/>
            <w:tcBorders>
              <w:left w:val="none" w:sz="0" w:space="0" w:color="auto"/>
              <w:right w:val="none" w:sz="0" w:space="0" w:color="auto"/>
            </w:tcBorders>
          </w:tcPr>
          <w:p w14:paraId="7267463D" w14:textId="77777777" w:rsidR="0002358B" w:rsidRPr="005646F5" w:rsidRDefault="0002358B" w:rsidP="002C17BA">
            <w:pPr>
              <w:rPr>
                <w:rFonts w:cs="Arial"/>
                <w:b/>
                <w:szCs w:val="22"/>
              </w:rPr>
            </w:pPr>
            <w:r w:rsidRPr="005646F5">
              <w:rPr>
                <w:rFonts w:cs="Arial"/>
                <w:b/>
                <w:szCs w:val="22"/>
              </w:rPr>
              <w:t>Target Audience:</w:t>
            </w:r>
          </w:p>
        </w:tc>
        <w:tc>
          <w:tcPr>
            <w:cnfStyle w:val="000001000000" w:firstRow="0" w:lastRow="0" w:firstColumn="0" w:lastColumn="0" w:oddVBand="0" w:evenVBand="1" w:oddHBand="0" w:evenHBand="0" w:firstRowFirstColumn="0" w:firstRowLastColumn="0" w:lastRowFirstColumn="0" w:lastRowLastColumn="0"/>
            <w:tcW w:w="2470" w:type="pct"/>
            <w:tcBorders>
              <w:left w:val="none" w:sz="0" w:space="0" w:color="auto"/>
              <w:right w:val="none" w:sz="0" w:space="0" w:color="auto"/>
            </w:tcBorders>
          </w:tcPr>
          <w:p w14:paraId="7EFE88FE" w14:textId="77777777" w:rsidR="0002358B" w:rsidRPr="005646F5" w:rsidRDefault="0002358B" w:rsidP="002C17BA">
            <w:pPr>
              <w:rPr>
                <w:rFonts w:cs="Arial"/>
                <w:szCs w:val="22"/>
              </w:rPr>
            </w:pPr>
            <w:r>
              <w:rPr>
                <w:rFonts w:cs="Arial"/>
                <w:szCs w:val="22"/>
              </w:rPr>
              <w:t>Public</w:t>
            </w:r>
          </w:p>
        </w:tc>
      </w:tr>
      <w:tr w:rsidR="0002358B" w:rsidRPr="005646F5" w14:paraId="315B14D0" w14:textId="77777777" w:rsidTr="00454E7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30" w:type="pct"/>
            <w:tcBorders>
              <w:top w:val="none" w:sz="0" w:space="0" w:color="auto"/>
              <w:left w:val="none" w:sz="0" w:space="0" w:color="auto"/>
              <w:bottom w:val="none" w:sz="0" w:space="0" w:color="auto"/>
              <w:right w:val="none" w:sz="0" w:space="0" w:color="auto"/>
            </w:tcBorders>
          </w:tcPr>
          <w:p w14:paraId="29CB2C61" w14:textId="77777777" w:rsidR="0002358B" w:rsidRPr="005646F5" w:rsidRDefault="0002358B" w:rsidP="002C17BA">
            <w:pPr>
              <w:rPr>
                <w:rFonts w:cs="Arial"/>
                <w:b/>
                <w:szCs w:val="22"/>
              </w:rPr>
            </w:pPr>
            <w:r w:rsidRPr="005646F5">
              <w:rPr>
                <w:rFonts w:cs="Arial"/>
                <w:b/>
                <w:szCs w:val="22"/>
              </w:rPr>
              <w:t>Dissemination:</w:t>
            </w:r>
          </w:p>
        </w:tc>
        <w:tc>
          <w:tcPr>
            <w:cnfStyle w:val="000001000000" w:firstRow="0" w:lastRow="0" w:firstColumn="0" w:lastColumn="0" w:oddVBand="0" w:evenVBand="1" w:oddHBand="0" w:evenHBand="0" w:firstRowFirstColumn="0" w:firstRowLastColumn="0" w:lastRowFirstColumn="0" w:lastRowLastColumn="0"/>
            <w:tcW w:w="2470" w:type="pct"/>
            <w:tcBorders>
              <w:top w:val="none" w:sz="0" w:space="0" w:color="auto"/>
              <w:left w:val="none" w:sz="0" w:space="0" w:color="auto"/>
              <w:bottom w:val="none" w:sz="0" w:space="0" w:color="auto"/>
              <w:right w:val="none" w:sz="0" w:space="0" w:color="auto"/>
            </w:tcBorders>
          </w:tcPr>
          <w:p w14:paraId="727249B8" w14:textId="77777777" w:rsidR="0002358B" w:rsidRDefault="0002358B" w:rsidP="002C17BA">
            <w:pPr>
              <w:rPr>
                <w:rFonts w:cs="Arial"/>
                <w:szCs w:val="22"/>
              </w:rPr>
            </w:pPr>
            <w:r>
              <w:rPr>
                <w:rFonts w:cs="Arial"/>
                <w:szCs w:val="22"/>
              </w:rPr>
              <w:t>NELCCG Internet and Intranet</w:t>
            </w:r>
          </w:p>
          <w:p w14:paraId="258318CC" w14:textId="77777777" w:rsidR="0002358B" w:rsidRPr="005646F5" w:rsidRDefault="0002358B" w:rsidP="002C17BA">
            <w:pPr>
              <w:rPr>
                <w:rFonts w:cs="Arial"/>
                <w:szCs w:val="22"/>
              </w:rPr>
            </w:pPr>
            <w:r>
              <w:rPr>
                <w:rFonts w:cs="Arial"/>
                <w:szCs w:val="22"/>
              </w:rPr>
              <w:t xml:space="preserve">CCG Global newsletter  </w:t>
            </w:r>
          </w:p>
        </w:tc>
      </w:tr>
    </w:tbl>
    <w:p w14:paraId="0E3A4D14" w14:textId="77777777" w:rsidR="00993670" w:rsidRPr="00993670" w:rsidRDefault="00993670" w:rsidP="00993670">
      <w:pPr>
        <w:rPr>
          <w:vanish/>
        </w:rPr>
      </w:pPr>
    </w:p>
    <w:p w14:paraId="6DAB9FC0" w14:textId="77777777" w:rsidR="0057415B" w:rsidRDefault="0057415B">
      <w:pPr>
        <w:jc w:val="left"/>
        <w:rPr>
          <w:rFonts w:eastAsia="Calibri" w:cs="Arial"/>
          <w:color w:val="000000"/>
          <w:szCs w:val="22"/>
          <w:lang w:eastAsia="en-US"/>
        </w:rPr>
      </w:pPr>
    </w:p>
    <w:p w14:paraId="6C1C7E63" w14:textId="77777777" w:rsidR="0057415B" w:rsidRDefault="0057415B">
      <w:pPr>
        <w:jc w:val="left"/>
        <w:rPr>
          <w:rFonts w:eastAsia="Calibri" w:cs="Arial"/>
          <w:i/>
          <w:color w:val="00B0F0"/>
          <w:sz w:val="20"/>
          <w:szCs w:val="20"/>
          <w:lang w:eastAsia="en-US"/>
        </w:rPr>
      </w:pPr>
    </w:p>
    <w:tbl>
      <w:tblPr>
        <w:tblStyle w:val="GridTable1Light"/>
        <w:tblpPr w:leftFromText="180" w:rightFromText="180" w:vertAnchor="text" w:horzAnchor="margin" w:tblpXSpec="center" w:tblpY="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011"/>
        <w:gridCol w:w="6781"/>
        <w:gridCol w:w="2402"/>
      </w:tblGrid>
      <w:tr w:rsidR="0002358B" w:rsidRPr="005646F5" w14:paraId="2582B552" w14:textId="77777777" w:rsidTr="00454E7D">
        <w:trPr>
          <w:cnfStyle w:val="100000000000" w:firstRow="1" w:lastRow="0" w:firstColumn="0" w:lastColumn="0" w:oddVBand="0" w:evenVBand="0" w:oddHBand="0" w:evenHBand="0" w:firstRowFirstColumn="0" w:firstRowLastColumn="0" w:lastRowFirstColumn="0" w:lastRowLastColumn="0"/>
        </w:trPr>
        <w:tc>
          <w:tcPr>
            <w:tcW w:w="496" w:type="pct"/>
            <w:tcBorders>
              <w:bottom w:val="none" w:sz="0" w:space="0" w:color="auto"/>
            </w:tcBorders>
          </w:tcPr>
          <w:p w14:paraId="1C297CB3" w14:textId="77777777" w:rsidR="0002358B" w:rsidRPr="005646F5" w:rsidRDefault="0002358B" w:rsidP="002C17BA">
            <w:pPr>
              <w:jc w:val="center"/>
              <w:rPr>
                <w:rFonts w:cs="Arial"/>
                <w:b w:val="0"/>
                <w:szCs w:val="22"/>
              </w:rPr>
            </w:pPr>
            <w:r w:rsidRPr="005646F5">
              <w:rPr>
                <w:rFonts w:cs="Arial"/>
                <w:szCs w:val="22"/>
              </w:rPr>
              <w:t>Version</w:t>
            </w:r>
          </w:p>
        </w:tc>
        <w:tc>
          <w:tcPr>
            <w:tcW w:w="3326" w:type="pct"/>
            <w:tcBorders>
              <w:bottom w:val="none" w:sz="0" w:space="0" w:color="auto"/>
            </w:tcBorders>
          </w:tcPr>
          <w:p w14:paraId="7EA1A5AE" w14:textId="77777777" w:rsidR="0002358B" w:rsidRPr="005646F5" w:rsidRDefault="0002358B" w:rsidP="002C17BA">
            <w:pPr>
              <w:jc w:val="center"/>
              <w:rPr>
                <w:rFonts w:cs="Arial"/>
                <w:b w:val="0"/>
                <w:szCs w:val="22"/>
              </w:rPr>
            </w:pPr>
            <w:r>
              <w:rPr>
                <w:rFonts w:cs="Arial"/>
                <w:szCs w:val="22"/>
              </w:rPr>
              <w:t xml:space="preserve">Description of Amendments </w:t>
            </w:r>
          </w:p>
        </w:tc>
        <w:tc>
          <w:tcPr>
            <w:tcW w:w="1178" w:type="pct"/>
            <w:tcBorders>
              <w:bottom w:val="none" w:sz="0" w:space="0" w:color="auto"/>
            </w:tcBorders>
          </w:tcPr>
          <w:p w14:paraId="1A5E0F6E" w14:textId="77777777" w:rsidR="0002358B" w:rsidRPr="005646F5" w:rsidRDefault="0002358B" w:rsidP="002C17BA">
            <w:pPr>
              <w:jc w:val="center"/>
              <w:rPr>
                <w:rFonts w:cs="Arial"/>
                <w:b w:val="0"/>
                <w:szCs w:val="22"/>
              </w:rPr>
            </w:pPr>
            <w:r>
              <w:rPr>
                <w:rFonts w:cs="Arial"/>
                <w:szCs w:val="22"/>
              </w:rPr>
              <w:t xml:space="preserve">Date </w:t>
            </w:r>
          </w:p>
        </w:tc>
      </w:tr>
      <w:tr w:rsidR="0002358B" w:rsidRPr="005646F5" w14:paraId="5BA9FD1F" w14:textId="77777777" w:rsidTr="00454E7D">
        <w:tc>
          <w:tcPr>
            <w:tcW w:w="496" w:type="pct"/>
          </w:tcPr>
          <w:p w14:paraId="2272D3C5" w14:textId="77777777" w:rsidR="0002358B" w:rsidRPr="005646F5" w:rsidRDefault="0002358B" w:rsidP="002C17BA">
            <w:pPr>
              <w:jc w:val="center"/>
              <w:rPr>
                <w:rFonts w:cs="Arial"/>
                <w:szCs w:val="22"/>
              </w:rPr>
            </w:pPr>
            <w:r>
              <w:rPr>
                <w:rFonts w:cs="Arial"/>
                <w:szCs w:val="22"/>
              </w:rPr>
              <w:t>1.0</w:t>
            </w:r>
          </w:p>
        </w:tc>
        <w:tc>
          <w:tcPr>
            <w:tcW w:w="3326" w:type="pct"/>
          </w:tcPr>
          <w:p w14:paraId="2A330343" w14:textId="77777777" w:rsidR="0002358B" w:rsidRPr="005646F5" w:rsidRDefault="00BC1843" w:rsidP="002C17BA">
            <w:pPr>
              <w:jc w:val="left"/>
              <w:rPr>
                <w:rFonts w:cs="Arial"/>
                <w:szCs w:val="22"/>
              </w:rPr>
            </w:pPr>
            <w:r>
              <w:rPr>
                <w:rFonts w:cs="Arial"/>
                <w:szCs w:val="22"/>
              </w:rPr>
              <w:t>New policy</w:t>
            </w:r>
          </w:p>
        </w:tc>
        <w:tc>
          <w:tcPr>
            <w:tcW w:w="1178" w:type="pct"/>
          </w:tcPr>
          <w:p w14:paraId="0210DAE4" w14:textId="77777777" w:rsidR="0002358B" w:rsidRPr="005646F5" w:rsidRDefault="00BC1843" w:rsidP="002C17BA">
            <w:pPr>
              <w:jc w:val="center"/>
              <w:rPr>
                <w:rFonts w:cs="Arial"/>
                <w:szCs w:val="22"/>
              </w:rPr>
            </w:pPr>
            <w:r>
              <w:rPr>
                <w:rFonts w:cs="Arial"/>
                <w:szCs w:val="22"/>
              </w:rPr>
              <w:t>15 April 2016</w:t>
            </w:r>
          </w:p>
        </w:tc>
      </w:tr>
      <w:tr w:rsidR="0002358B" w:rsidRPr="005646F5" w14:paraId="01149E5A" w14:textId="77777777" w:rsidTr="00454E7D">
        <w:tc>
          <w:tcPr>
            <w:tcW w:w="496" w:type="pct"/>
          </w:tcPr>
          <w:p w14:paraId="2360731F" w14:textId="77777777" w:rsidR="0002358B" w:rsidRDefault="0002358B" w:rsidP="002C17BA">
            <w:pPr>
              <w:jc w:val="center"/>
              <w:rPr>
                <w:rFonts w:cs="Arial"/>
                <w:szCs w:val="22"/>
              </w:rPr>
            </w:pPr>
            <w:r>
              <w:rPr>
                <w:rFonts w:cs="Arial"/>
                <w:szCs w:val="22"/>
              </w:rPr>
              <w:t xml:space="preserve">2.0 </w:t>
            </w:r>
          </w:p>
        </w:tc>
        <w:tc>
          <w:tcPr>
            <w:tcW w:w="3326" w:type="pct"/>
          </w:tcPr>
          <w:p w14:paraId="462D231C" w14:textId="77777777" w:rsidR="0002358B" w:rsidRDefault="00BC1843" w:rsidP="002C17BA">
            <w:pPr>
              <w:jc w:val="left"/>
              <w:rPr>
                <w:rFonts w:cs="Arial"/>
                <w:szCs w:val="22"/>
              </w:rPr>
            </w:pPr>
            <w:r>
              <w:rPr>
                <w:rFonts w:cs="Arial"/>
                <w:szCs w:val="22"/>
              </w:rPr>
              <w:t>Full policy redevelopment</w:t>
            </w:r>
          </w:p>
        </w:tc>
        <w:tc>
          <w:tcPr>
            <w:tcW w:w="1178" w:type="pct"/>
          </w:tcPr>
          <w:p w14:paraId="4CA8C183" w14:textId="77777777" w:rsidR="0002358B" w:rsidRDefault="00BC1843" w:rsidP="002C17BA">
            <w:pPr>
              <w:jc w:val="center"/>
              <w:rPr>
                <w:rFonts w:cs="Arial"/>
                <w:szCs w:val="22"/>
              </w:rPr>
            </w:pPr>
            <w:r>
              <w:rPr>
                <w:rFonts w:cs="Arial"/>
                <w:szCs w:val="22"/>
              </w:rPr>
              <w:t>29 August 2018</w:t>
            </w:r>
          </w:p>
        </w:tc>
      </w:tr>
      <w:tr w:rsidR="0002358B" w:rsidRPr="005646F5" w14:paraId="6D94B4D6" w14:textId="77777777" w:rsidTr="00454E7D">
        <w:tc>
          <w:tcPr>
            <w:tcW w:w="496" w:type="pct"/>
          </w:tcPr>
          <w:p w14:paraId="0F0B9B6B" w14:textId="77777777" w:rsidR="0002358B" w:rsidRDefault="0002358B" w:rsidP="002C17BA">
            <w:pPr>
              <w:jc w:val="center"/>
              <w:rPr>
                <w:rFonts w:cs="Arial"/>
                <w:szCs w:val="22"/>
              </w:rPr>
            </w:pPr>
            <w:r>
              <w:rPr>
                <w:rFonts w:cs="Arial"/>
                <w:szCs w:val="22"/>
              </w:rPr>
              <w:t>3.0</w:t>
            </w:r>
          </w:p>
        </w:tc>
        <w:tc>
          <w:tcPr>
            <w:tcW w:w="3326" w:type="pct"/>
          </w:tcPr>
          <w:p w14:paraId="4B561E9B" w14:textId="77777777" w:rsidR="0002358B" w:rsidRPr="00BC1843" w:rsidRDefault="00BC1843" w:rsidP="00BC1843">
            <w:pPr>
              <w:pStyle w:val="NoSpacing"/>
              <w:rPr>
                <w:rFonts w:ascii="Arial" w:hAnsi="Arial" w:cs="Arial"/>
              </w:rPr>
            </w:pPr>
            <w:r w:rsidRPr="00BC1843">
              <w:rPr>
                <w:rFonts w:ascii="Arial" w:hAnsi="Arial" w:cs="Arial"/>
              </w:rPr>
              <w:t>Minor amendments to incorporate newly published guidance – ratification not required</w:t>
            </w:r>
          </w:p>
        </w:tc>
        <w:tc>
          <w:tcPr>
            <w:tcW w:w="1178" w:type="pct"/>
          </w:tcPr>
          <w:p w14:paraId="41E0F145" w14:textId="77777777" w:rsidR="0002358B" w:rsidRDefault="00BC1843" w:rsidP="002C17BA">
            <w:pPr>
              <w:jc w:val="center"/>
              <w:rPr>
                <w:rFonts w:cs="Arial"/>
                <w:szCs w:val="22"/>
              </w:rPr>
            </w:pPr>
            <w:r>
              <w:rPr>
                <w:rFonts w:cs="Arial"/>
                <w:szCs w:val="22"/>
              </w:rPr>
              <w:t>31 October 2019</w:t>
            </w:r>
          </w:p>
        </w:tc>
      </w:tr>
      <w:tr w:rsidR="0002358B" w:rsidRPr="005646F5" w14:paraId="2C6F2F38" w14:textId="77777777" w:rsidTr="00454E7D">
        <w:tc>
          <w:tcPr>
            <w:tcW w:w="496" w:type="pct"/>
          </w:tcPr>
          <w:p w14:paraId="7CEA6E99" w14:textId="77777777" w:rsidR="0002358B" w:rsidRDefault="0002358B" w:rsidP="002C17BA">
            <w:pPr>
              <w:jc w:val="center"/>
              <w:rPr>
                <w:rFonts w:cs="Arial"/>
                <w:szCs w:val="22"/>
              </w:rPr>
            </w:pPr>
            <w:r>
              <w:rPr>
                <w:rFonts w:cs="Arial"/>
                <w:szCs w:val="22"/>
              </w:rPr>
              <w:t>4.0</w:t>
            </w:r>
          </w:p>
        </w:tc>
        <w:tc>
          <w:tcPr>
            <w:tcW w:w="3326" w:type="pct"/>
          </w:tcPr>
          <w:p w14:paraId="48A1E356" w14:textId="77777777" w:rsidR="0002358B" w:rsidRDefault="00BC1843" w:rsidP="00BC1843">
            <w:pPr>
              <w:jc w:val="left"/>
              <w:rPr>
                <w:rFonts w:cs="Arial"/>
                <w:szCs w:val="22"/>
              </w:rPr>
            </w:pPr>
            <w:r>
              <w:rPr>
                <w:rFonts w:cs="Arial"/>
                <w:szCs w:val="22"/>
              </w:rPr>
              <w:t>Minimal minor amendments – ratification not required</w:t>
            </w:r>
          </w:p>
        </w:tc>
        <w:tc>
          <w:tcPr>
            <w:tcW w:w="1178" w:type="pct"/>
          </w:tcPr>
          <w:p w14:paraId="059B288C" w14:textId="77777777" w:rsidR="0002358B" w:rsidRDefault="00BC1843" w:rsidP="002C17BA">
            <w:pPr>
              <w:jc w:val="center"/>
              <w:rPr>
                <w:rFonts w:cs="Arial"/>
                <w:szCs w:val="22"/>
              </w:rPr>
            </w:pPr>
            <w:r>
              <w:rPr>
                <w:rFonts w:cs="Arial"/>
                <w:szCs w:val="22"/>
              </w:rPr>
              <w:t>10 December 2019</w:t>
            </w:r>
          </w:p>
        </w:tc>
      </w:tr>
      <w:tr w:rsidR="0002358B" w:rsidRPr="005646F5" w14:paraId="360C58DB" w14:textId="77777777" w:rsidTr="00454E7D">
        <w:tc>
          <w:tcPr>
            <w:tcW w:w="496" w:type="pct"/>
          </w:tcPr>
          <w:p w14:paraId="40733F33" w14:textId="32E3A8E6" w:rsidR="0002358B" w:rsidRDefault="00A71CEB" w:rsidP="002C17BA">
            <w:pPr>
              <w:jc w:val="center"/>
              <w:rPr>
                <w:rFonts w:cs="Arial"/>
                <w:szCs w:val="22"/>
              </w:rPr>
            </w:pPr>
            <w:r>
              <w:rPr>
                <w:rFonts w:cs="Arial"/>
                <w:szCs w:val="22"/>
              </w:rPr>
              <w:t>5.0</w:t>
            </w:r>
          </w:p>
        </w:tc>
        <w:tc>
          <w:tcPr>
            <w:tcW w:w="3326" w:type="pct"/>
          </w:tcPr>
          <w:p w14:paraId="204C68C9" w14:textId="3CD04988" w:rsidR="0002358B" w:rsidRPr="000B7B81" w:rsidRDefault="00A71CEB" w:rsidP="002C17BA">
            <w:pPr>
              <w:jc w:val="left"/>
              <w:rPr>
                <w:rFonts w:cs="Arial"/>
                <w:szCs w:val="22"/>
              </w:rPr>
            </w:pPr>
            <w:r>
              <w:rPr>
                <w:rFonts w:cs="Arial"/>
                <w:szCs w:val="22"/>
              </w:rPr>
              <w:t>Minimal minor amendments – ratification not required</w:t>
            </w:r>
          </w:p>
        </w:tc>
        <w:tc>
          <w:tcPr>
            <w:tcW w:w="1178" w:type="pct"/>
          </w:tcPr>
          <w:p w14:paraId="2E5CB805" w14:textId="4BFA25B5" w:rsidR="0002358B" w:rsidRDefault="00A71CEB" w:rsidP="002C17BA">
            <w:pPr>
              <w:jc w:val="center"/>
              <w:rPr>
                <w:rFonts w:cs="Arial"/>
                <w:szCs w:val="22"/>
              </w:rPr>
            </w:pPr>
            <w:r>
              <w:rPr>
                <w:rFonts w:cs="Arial"/>
                <w:szCs w:val="22"/>
              </w:rPr>
              <w:t>25 November 2021</w:t>
            </w:r>
          </w:p>
        </w:tc>
      </w:tr>
      <w:tr w:rsidR="0002358B" w:rsidRPr="005646F5" w14:paraId="794139CA" w14:textId="77777777" w:rsidTr="00454E7D">
        <w:tc>
          <w:tcPr>
            <w:tcW w:w="496" w:type="pct"/>
          </w:tcPr>
          <w:p w14:paraId="12B99683" w14:textId="77777777" w:rsidR="0002358B" w:rsidRDefault="0002358B" w:rsidP="002C17BA">
            <w:pPr>
              <w:jc w:val="center"/>
              <w:rPr>
                <w:rFonts w:cs="Arial"/>
                <w:szCs w:val="22"/>
              </w:rPr>
            </w:pPr>
          </w:p>
        </w:tc>
        <w:tc>
          <w:tcPr>
            <w:tcW w:w="3326" w:type="pct"/>
          </w:tcPr>
          <w:p w14:paraId="74CFE7F8" w14:textId="77777777" w:rsidR="0002358B" w:rsidRDefault="0002358B" w:rsidP="002C17BA">
            <w:pPr>
              <w:jc w:val="left"/>
              <w:rPr>
                <w:rFonts w:cs="Arial"/>
                <w:szCs w:val="22"/>
              </w:rPr>
            </w:pPr>
          </w:p>
        </w:tc>
        <w:tc>
          <w:tcPr>
            <w:tcW w:w="1178" w:type="pct"/>
          </w:tcPr>
          <w:p w14:paraId="670300C3" w14:textId="77777777" w:rsidR="0002358B" w:rsidRDefault="0002358B" w:rsidP="002C17BA">
            <w:pPr>
              <w:jc w:val="center"/>
              <w:rPr>
                <w:rFonts w:cs="Arial"/>
                <w:szCs w:val="22"/>
              </w:rPr>
            </w:pPr>
          </w:p>
        </w:tc>
      </w:tr>
    </w:tbl>
    <w:p w14:paraId="5652EB60" w14:textId="77777777" w:rsidR="0057415B" w:rsidRDefault="0057415B">
      <w:pPr>
        <w:jc w:val="left"/>
        <w:rPr>
          <w:rFonts w:eastAsia="Calibri" w:cs="Arial"/>
          <w:color w:val="000000"/>
          <w:szCs w:val="22"/>
          <w:lang w:eastAsia="en-US"/>
        </w:rPr>
      </w:pPr>
    </w:p>
    <w:p w14:paraId="461C986B" w14:textId="77777777" w:rsidR="003917EB" w:rsidRDefault="003917EB">
      <w:pPr>
        <w:jc w:val="left"/>
        <w:rPr>
          <w:rFonts w:eastAsia="Calibri" w:cs="Arial"/>
          <w:color w:val="000000"/>
          <w:szCs w:val="22"/>
          <w:lang w:eastAsia="en-US"/>
        </w:rPr>
      </w:pPr>
    </w:p>
    <w:p w14:paraId="521012D8" w14:textId="77777777" w:rsidR="0057415B" w:rsidRDefault="0057415B">
      <w:pPr>
        <w:jc w:val="left"/>
        <w:rPr>
          <w:rFonts w:eastAsia="Calibri" w:cs="Arial"/>
          <w:color w:val="000000"/>
          <w:szCs w:val="22"/>
          <w:lang w:eastAsia="en-US"/>
        </w:rPr>
      </w:pPr>
    </w:p>
    <w:p w14:paraId="4DAFB75E" w14:textId="77777777" w:rsidR="0002358B" w:rsidRPr="00AE693E" w:rsidRDefault="0002358B" w:rsidP="0002358B">
      <w:pPr>
        <w:rPr>
          <w:color w:val="FF0000"/>
        </w:rPr>
      </w:pPr>
      <w:r>
        <w:rPr>
          <w:rFonts w:cs="Arial"/>
          <w:b/>
          <w:color w:val="000000"/>
          <w:szCs w:val="22"/>
        </w:rPr>
        <w:t>The on-line version is the only version that is maintained and valid.  If this document has been printed or saved to another location, the reader must check that the version number matches that of the on-line version.</w:t>
      </w:r>
    </w:p>
    <w:p w14:paraId="2401018B" w14:textId="77777777" w:rsidR="003917EB" w:rsidRDefault="003917EB" w:rsidP="004F0BD3">
      <w:pPr>
        <w:pStyle w:val="TOCHeading"/>
      </w:pPr>
    </w:p>
    <w:p w14:paraId="55A4E652" w14:textId="77777777" w:rsidR="003917EB" w:rsidRPr="003917EB" w:rsidRDefault="00670A84" w:rsidP="002C17BA">
      <w:pPr>
        <w:pStyle w:val="TOCHeading"/>
      </w:pPr>
      <w:r>
        <w:lastRenderedPageBreak/>
        <w:t>Contents</w:t>
      </w:r>
    </w:p>
    <w:p w14:paraId="3224B3CD" w14:textId="77777777" w:rsidR="006E5C95" w:rsidRPr="006E5C95" w:rsidRDefault="006E5C95" w:rsidP="006E5C95">
      <w:pPr>
        <w:rPr>
          <w:lang w:val="en-US" w:eastAsia="ja-JP"/>
        </w:rPr>
      </w:pPr>
    </w:p>
    <w:p w14:paraId="45129B69" w14:textId="12567885" w:rsidR="002B3809" w:rsidRDefault="00670A84">
      <w:pPr>
        <w:pStyle w:val="TOC1"/>
        <w:rPr>
          <w:rFonts w:asciiTheme="minorHAnsi" w:eastAsiaTheme="minorEastAsia" w:hAnsiTheme="minorHAnsi" w:cstheme="minorBidi"/>
          <w:noProof/>
          <w:kern w:val="0"/>
          <w:szCs w:val="22"/>
        </w:rPr>
      </w:pPr>
      <w:r>
        <w:fldChar w:fldCharType="begin"/>
      </w:r>
      <w:r>
        <w:instrText xml:space="preserve"> TOC \o "1-3" \h \z \u </w:instrText>
      </w:r>
      <w:r>
        <w:fldChar w:fldCharType="separate"/>
      </w:r>
      <w:hyperlink w:anchor="_Toc26869229" w:history="1">
        <w:r w:rsidR="002B3809" w:rsidRPr="00A06BE2">
          <w:rPr>
            <w:rStyle w:val="Hyperlink"/>
            <w:noProof/>
          </w:rPr>
          <w:t>1.</w:t>
        </w:r>
        <w:r w:rsidR="002B3809">
          <w:rPr>
            <w:rFonts w:asciiTheme="minorHAnsi" w:eastAsiaTheme="minorEastAsia" w:hAnsiTheme="minorHAnsi" w:cstheme="minorBidi"/>
            <w:noProof/>
            <w:kern w:val="0"/>
            <w:szCs w:val="22"/>
          </w:rPr>
          <w:tab/>
        </w:r>
        <w:r w:rsidR="002B3809" w:rsidRPr="00A06BE2">
          <w:rPr>
            <w:rStyle w:val="Hyperlink"/>
            <w:noProof/>
          </w:rPr>
          <w:t>INTRODUCTION</w:t>
        </w:r>
        <w:r w:rsidR="002B3809">
          <w:rPr>
            <w:noProof/>
            <w:webHidden/>
          </w:rPr>
          <w:tab/>
        </w:r>
        <w:r w:rsidR="002B3809">
          <w:rPr>
            <w:noProof/>
            <w:webHidden/>
          </w:rPr>
          <w:fldChar w:fldCharType="begin"/>
        </w:r>
        <w:r w:rsidR="002B3809">
          <w:rPr>
            <w:noProof/>
            <w:webHidden/>
          </w:rPr>
          <w:instrText xml:space="preserve"> PAGEREF _Toc26869229 \h </w:instrText>
        </w:r>
        <w:r w:rsidR="002B3809">
          <w:rPr>
            <w:noProof/>
            <w:webHidden/>
          </w:rPr>
        </w:r>
        <w:r w:rsidR="002B3809">
          <w:rPr>
            <w:noProof/>
            <w:webHidden/>
          </w:rPr>
          <w:fldChar w:fldCharType="separate"/>
        </w:r>
        <w:r w:rsidR="004641F0">
          <w:rPr>
            <w:noProof/>
            <w:webHidden/>
          </w:rPr>
          <w:t>4</w:t>
        </w:r>
        <w:r w:rsidR="002B3809">
          <w:rPr>
            <w:noProof/>
            <w:webHidden/>
          </w:rPr>
          <w:fldChar w:fldCharType="end"/>
        </w:r>
      </w:hyperlink>
    </w:p>
    <w:p w14:paraId="75E0E01C" w14:textId="362A398E" w:rsidR="002B3809" w:rsidRDefault="004641F0">
      <w:pPr>
        <w:pStyle w:val="TOC1"/>
        <w:rPr>
          <w:rFonts w:asciiTheme="minorHAnsi" w:eastAsiaTheme="minorEastAsia" w:hAnsiTheme="minorHAnsi" w:cstheme="minorBidi"/>
          <w:noProof/>
          <w:kern w:val="0"/>
          <w:szCs w:val="22"/>
        </w:rPr>
      </w:pPr>
      <w:hyperlink w:anchor="_Toc26869230" w:history="1">
        <w:r w:rsidR="002B3809" w:rsidRPr="00A06BE2">
          <w:rPr>
            <w:rStyle w:val="Hyperlink"/>
            <w:noProof/>
          </w:rPr>
          <w:t>2.</w:t>
        </w:r>
        <w:r w:rsidR="002B3809">
          <w:rPr>
            <w:rFonts w:asciiTheme="minorHAnsi" w:eastAsiaTheme="minorEastAsia" w:hAnsiTheme="minorHAnsi" w:cstheme="minorBidi"/>
            <w:noProof/>
            <w:kern w:val="0"/>
            <w:szCs w:val="22"/>
          </w:rPr>
          <w:tab/>
        </w:r>
        <w:r w:rsidR="002B3809" w:rsidRPr="00A06BE2">
          <w:rPr>
            <w:rStyle w:val="Hyperlink"/>
            <w:noProof/>
          </w:rPr>
          <w:t>PURPOSE AND SCOPE</w:t>
        </w:r>
        <w:r w:rsidR="002B3809">
          <w:rPr>
            <w:noProof/>
            <w:webHidden/>
          </w:rPr>
          <w:tab/>
        </w:r>
        <w:r w:rsidR="002B3809">
          <w:rPr>
            <w:noProof/>
            <w:webHidden/>
          </w:rPr>
          <w:fldChar w:fldCharType="begin"/>
        </w:r>
        <w:r w:rsidR="002B3809">
          <w:rPr>
            <w:noProof/>
            <w:webHidden/>
          </w:rPr>
          <w:instrText xml:space="preserve"> PAGEREF _Toc26869230 \h </w:instrText>
        </w:r>
        <w:r w:rsidR="002B3809">
          <w:rPr>
            <w:noProof/>
            <w:webHidden/>
          </w:rPr>
        </w:r>
        <w:r w:rsidR="002B3809">
          <w:rPr>
            <w:noProof/>
            <w:webHidden/>
          </w:rPr>
          <w:fldChar w:fldCharType="separate"/>
        </w:r>
        <w:r>
          <w:rPr>
            <w:noProof/>
            <w:webHidden/>
          </w:rPr>
          <w:t>5</w:t>
        </w:r>
        <w:r w:rsidR="002B3809">
          <w:rPr>
            <w:noProof/>
            <w:webHidden/>
          </w:rPr>
          <w:fldChar w:fldCharType="end"/>
        </w:r>
      </w:hyperlink>
    </w:p>
    <w:p w14:paraId="4F0291A0" w14:textId="75B70ED1" w:rsidR="002B3809" w:rsidRDefault="004641F0">
      <w:pPr>
        <w:pStyle w:val="TOC1"/>
        <w:rPr>
          <w:rFonts w:asciiTheme="minorHAnsi" w:eastAsiaTheme="minorEastAsia" w:hAnsiTheme="minorHAnsi" w:cstheme="minorBidi"/>
          <w:noProof/>
          <w:kern w:val="0"/>
          <w:szCs w:val="22"/>
        </w:rPr>
      </w:pPr>
      <w:hyperlink w:anchor="_Toc26869231" w:history="1">
        <w:r w:rsidR="002B3809" w:rsidRPr="00A06BE2">
          <w:rPr>
            <w:rStyle w:val="Hyperlink"/>
            <w:noProof/>
          </w:rPr>
          <w:t xml:space="preserve">3. </w:t>
        </w:r>
        <w:r w:rsidR="002B3809">
          <w:rPr>
            <w:rStyle w:val="Hyperlink"/>
            <w:noProof/>
          </w:rPr>
          <w:t xml:space="preserve">  </w:t>
        </w:r>
        <w:r w:rsidR="002B3809" w:rsidRPr="00A06BE2">
          <w:rPr>
            <w:rStyle w:val="Hyperlink"/>
            <w:noProof/>
          </w:rPr>
          <w:t>EQUALITY STATEMENT</w:t>
        </w:r>
        <w:r w:rsidR="002B3809">
          <w:rPr>
            <w:noProof/>
            <w:webHidden/>
          </w:rPr>
          <w:tab/>
        </w:r>
        <w:r w:rsidR="002B3809">
          <w:rPr>
            <w:noProof/>
            <w:webHidden/>
          </w:rPr>
          <w:fldChar w:fldCharType="begin"/>
        </w:r>
        <w:r w:rsidR="002B3809">
          <w:rPr>
            <w:noProof/>
            <w:webHidden/>
          </w:rPr>
          <w:instrText xml:space="preserve"> PAGEREF _Toc26869231 \h </w:instrText>
        </w:r>
        <w:r w:rsidR="002B3809">
          <w:rPr>
            <w:noProof/>
            <w:webHidden/>
          </w:rPr>
        </w:r>
        <w:r w:rsidR="002B3809">
          <w:rPr>
            <w:noProof/>
            <w:webHidden/>
          </w:rPr>
          <w:fldChar w:fldCharType="separate"/>
        </w:r>
        <w:r>
          <w:rPr>
            <w:noProof/>
            <w:webHidden/>
          </w:rPr>
          <w:t>5</w:t>
        </w:r>
        <w:r w:rsidR="002B3809">
          <w:rPr>
            <w:noProof/>
            <w:webHidden/>
          </w:rPr>
          <w:fldChar w:fldCharType="end"/>
        </w:r>
      </w:hyperlink>
    </w:p>
    <w:p w14:paraId="30997FEB" w14:textId="7E980964" w:rsidR="002B3809" w:rsidRDefault="004641F0">
      <w:pPr>
        <w:pStyle w:val="TOC1"/>
        <w:rPr>
          <w:rFonts w:asciiTheme="minorHAnsi" w:eastAsiaTheme="minorEastAsia" w:hAnsiTheme="minorHAnsi" w:cstheme="minorBidi"/>
          <w:noProof/>
          <w:kern w:val="0"/>
          <w:szCs w:val="22"/>
        </w:rPr>
      </w:pPr>
      <w:hyperlink w:anchor="_Toc26869232" w:history="1">
        <w:r w:rsidR="002B3809" w:rsidRPr="00A06BE2">
          <w:rPr>
            <w:rStyle w:val="Hyperlink"/>
            <w:noProof/>
          </w:rPr>
          <w:t xml:space="preserve">4. </w:t>
        </w:r>
        <w:r w:rsidR="002B3809">
          <w:rPr>
            <w:rStyle w:val="Hyperlink"/>
            <w:noProof/>
          </w:rPr>
          <w:t xml:space="preserve">  </w:t>
        </w:r>
        <w:r w:rsidR="002B3809" w:rsidRPr="00A06BE2">
          <w:rPr>
            <w:rStyle w:val="Hyperlink"/>
            <w:noProof/>
          </w:rPr>
          <w:t>BRIBERY ACT 2010</w:t>
        </w:r>
        <w:r w:rsidR="002B3809">
          <w:rPr>
            <w:noProof/>
            <w:webHidden/>
          </w:rPr>
          <w:tab/>
        </w:r>
        <w:r w:rsidR="002B3809">
          <w:rPr>
            <w:noProof/>
            <w:webHidden/>
          </w:rPr>
          <w:fldChar w:fldCharType="begin"/>
        </w:r>
        <w:r w:rsidR="002B3809">
          <w:rPr>
            <w:noProof/>
            <w:webHidden/>
          </w:rPr>
          <w:instrText xml:space="preserve"> PAGEREF _Toc26869232 \h </w:instrText>
        </w:r>
        <w:r w:rsidR="002B3809">
          <w:rPr>
            <w:noProof/>
            <w:webHidden/>
          </w:rPr>
        </w:r>
        <w:r w:rsidR="002B3809">
          <w:rPr>
            <w:noProof/>
            <w:webHidden/>
          </w:rPr>
          <w:fldChar w:fldCharType="separate"/>
        </w:r>
        <w:r>
          <w:rPr>
            <w:noProof/>
            <w:webHidden/>
          </w:rPr>
          <w:t>5</w:t>
        </w:r>
        <w:r w:rsidR="002B3809">
          <w:rPr>
            <w:noProof/>
            <w:webHidden/>
          </w:rPr>
          <w:fldChar w:fldCharType="end"/>
        </w:r>
      </w:hyperlink>
    </w:p>
    <w:p w14:paraId="0BCD1737" w14:textId="5F5F383E" w:rsidR="002B3809" w:rsidRDefault="004641F0">
      <w:pPr>
        <w:pStyle w:val="TOC1"/>
        <w:rPr>
          <w:rFonts w:asciiTheme="minorHAnsi" w:eastAsiaTheme="minorEastAsia" w:hAnsiTheme="minorHAnsi" w:cstheme="minorBidi"/>
          <w:noProof/>
          <w:kern w:val="0"/>
          <w:szCs w:val="22"/>
        </w:rPr>
      </w:pPr>
      <w:hyperlink w:anchor="_Toc26869233" w:history="1">
        <w:r w:rsidR="002B3809" w:rsidRPr="00A06BE2">
          <w:rPr>
            <w:rStyle w:val="Hyperlink"/>
            <w:noProof/>
          </w:rPr>
          <w:t>5.</w:t>
        </w:r>
        <w:r w:rsidR="002B3809">
          <w:rPr>
            <w:rFonts w:asciiTheme="minorHAnsi" w:eastAsiaTheme="minorEastAsia" w:hAnsiTheme="minorHAnsi" w:cstheme="minorBidi"/>
            <w:noProof/>
            <w:kern w:val="0"/>
            <w:szCs w:val="22"/>
          </w:rPr>
          <w:tab/>
        </w:r>
        <w:r w:rsidR="002B3809" w:rsidRPr="00A06BE2">
          <w:rPr>
            <w:rStyle w:val="Hyperlink"/>
            <w:noProof/>
          </w:rPr>
          <w:t>RESPONSIBILITIES</w:t>
        </w:r>
        <w:r w:rsidR="002B3809">
          <w:rPr>
            <w:noProof/>
            <w:webHidden/>
          </w:rPr>
          <w:tab/>
        </w:r>
        <w:r w:rsidR="002B3809">
          <w:rPr>
            <w:noProof/>
            <w:webHidden/>
          </w:rPr>
          <w:fldChar w:fldCharType="begin"/>
        </w:r>
        <w:r w:rsidR="002B3809">
          <w:rPr>
            <w:noProof/>
            <w:webHidden/>
          </w:rPr>
          <w:instrText xml:space="preserve"> PAGEREF _Toc26869233 \h </w:instrText>
        </w:r>
        <w:r w:rsidR="002B3809">
          <w:rPr>
            <w:noProof/>
            <w:webHidden/>
          </w:rPr>
        </w:r>
        <w:r w:rsidR="002B3809">
          <w:rPr>
            <w:noProof/>
            <w:webHidden/>
          </w:rPr>
          <w:fldChar w:fldCharType="separate"/>
        </w:r>
        <w:r>
          <w:rPr>
            <w:noProof/>
            <w:webHidden/>
          </w:rPr>
          <w:t>6</w:t>
        </w:r>
        <w:r w:rsidR="002B3809">
          <w:rPr>
            <w:noProof/>
            <w:webHidden/>
          </w:rPr>
          <w:fldChar w:fldCharType="end"/>
        </w:r>
      </w:hyperlink>
    </w:p>
    <w:p w14:paraId="56005F56" w14:textId="2A5D7476" w:rsidR="002B3809" w:rsidRDefault="004641F0">
      <w:pPr>
        <w:pStyle w:val="TOC1"/>
        <w:rPr>
          <w:rFonts w:asciiTheme="minorHAnsi" w:eastAsiaTheme="minorEastAsia" w:hAnsiTheme="minorHAnsi" w:cstheme="minorBidi"/>
          <w:noProof/>
          <w:kern w:val="0"/>
          <w:szCs w:val="22"/>
        </w:rPr>
      </w:pPr>
      <w:hyperlink w:anchor="_Toc26869234" w:history="1">
        <w:r w:rsidR="002B3809" w:rsidRPr="00A06BE2">
          <w:rPr>
            <w:rStyle w:val="Hyperlink"/>
            <w:noProof/>
          </w:rPr>
          <w:t>6.</w:t>
        </w:r>
        <w:r w:rsidR="002B3809">
          <w:rPr>
            <w:rFonts w:asciiTheme="minorHAnsi" w:eastAsiaTheme="minorEastAsia" w:hAnsiTheme="minorHAnsi" w:cstheme="minorBidi"/>
            <w:noProof/>
            <w:kern w:val="0"/>
            <w:szCs w:val="22"/>
          </w:rPr>
          <w:tab/>
        </w:r>
        <w:r w:rsidR="002B3809" w:rsidRPr="00A06BE2">
          <w:rPr>
            <w:rStyle w:val="Hyperlink"/>
            <w:noProof/>
          </w:rPr>
          <w:t>DEFINITIONS</w:t>
        </w:r>
        <w:r w:rsidR="002B3809">
          <w:rPr>
            <w:noProof/>
            <w:webHidden/>
          </w:rPr>
          <w:tab/>
        </w:r>
        <w:r w:rsidR="002B3809">
          <w:rPr>
            <w:noProof/>
            <w:webHidden/>
          </w:rPr>
          <w:fldChar w:fldCharType="begin"/>
        </w:r>
        <w:r w:rsidR="002B3809">
          <w:rPr>
            <w:noProof/>
            <w:webHidden/>
          </w:rPr>
          <w:instrText xml:space="preserve"> PAGEREF _Toc26869234 \h </w:instrText>
        </w:r>
        <w:r w:rsidR="002B3809">
          <w:rPr>
            <w:noProof/>
            <w:webHidden/>
          </w:rPr>
        </w:r>
        <w:r w:rsidR="002B3809">
          <w:rPr>
            <w:noProof/>
            <w:webHidden/>
          </w:rPr>
          <w:fldChar w:fldCharType="separate"/>
        </w:r>
        <w:r>
          <w:rPr>
            <w:noProof/>
            <w:webHidden/>
          </w:rPr>
          <w:t>8</w:t>
        </w:r>
        <w:r w:rsidR="002B3809">
          <w:rPr>
            <w:noProof/>
            <w:webHidden/>
          </w:rPr>
          <w:fldChar w:fldCharType="end"/>
        </w:r>
      </w:hyperlink>
    </w:p>
    <w:p w14:paraId="67565595" w14:textId="224CE2C1" w:rsidR="002B3809" w:rsidRDefault="004641F0">
      <w:pPr>
        <w:pStyle w:val="TOC1"/>
        <w:rPr>
          <w:rFonts w:asciiTheme="minorHAnsi" w:eastAsiaTheme="minorEastAsia" w:hAnsiTheme="minorHAnsi" w:cstheme="minorBidi"/>
          <w:noProof/>
          <w:kern w:val="0"/>
          <w:szCs w:val="22"/>
        </w:rPr>
      </w:pPr>
      <w:hyperlink w:anchor="_Toc26869235" w:history="1">
        <w:r w:rsidR="002B3809" w:rsidRPr="00A06BE2">
          <w:rPr>
            <w:rStyle w:val="Hyperlink"/>
            <w:noProof/>
          </w:rPr>
          <w:t xml:space="preserve">7.  </w:t>
        </w:r>
        <w:r w:rsidR="002B3809">
          <w:rPr>
            <w:rStyle w:val="Hyperlink"/>
            <w:noProof/>
          </w:rPr>
          <w:t xml:space="preserve"> </w:t>
        </w:r>
        <w:r w:rsidR="002B3809" w:rsidRPr="00A06BE2">
          <w:rPr>
            <w:rStyle w:val="Hyperlink"/>
            <w:noProof/>
          </w:rPr>
          <w:t>PRINCIPLES</w:t>
        </w:r>
        <w:r w:rsidR="002B3809">
          <w:rPr>
            <w:noProof/>
            <w:webHidden/>
          </w:rPr>
          <w:tab/>
        </w:r>
        <w:r w:rsidR="002B3809">
          <w:rPr>
            <w:noProof/>
            <w:webHidden/>
          </w:rPr>
          <w:fldChar w:fldCharType="begin"/>
        </w:r>
        <w:r w:rsidR="002B3809">
          <w:rPr>
            <w:noProof/>
            <w:webHidden/>
          </w:rPr>
          <w:instrText xml:space="preserve"> PAGEREF _Toc26869235 \h </w:instrText>
        </w:r>
        <w:r w:rsidR="002B3809">
          <w:rPr>
            <w:noProof/>
            <w:webHidden/>
          </w:rPr>
        </w:r>
        <w:r w:rsidR="002B3809">
          <w:rPr>
            <w:noProof/>
            <w:webHidden/>
          </w:rPr>
          <w:fldChar w:fldCharType="separate"/>
        </w:r>
        <w:r>
          <w:rPr>
            <w:noProof/>
            <w:webHidden/>
          </w:rPr>
          <w:t>9</w:t>
        </w:r>
        <w:r w:rsidR="002B3809">
          <w:rPr>
            <w:noProof/>
            <w:webHidden/>
          </w:rPr>
          <w:fldChar w:fldCharType="end"/>
        </w:r>
      </w:hyperlink>
    </w:p>
    <w:p w14:paraId="761E322E" w14:textId="1F9FF03A" w:rsidR="002B3809" w:rsidRDefault="004641F0">
      <w:pPr>
        <w:pStyle w:val="TOC1"/>
        <w:rPr>
          <w:rFonts w:asciiTheme="minorHAnsi" w:eastAsiaTheme="minorEastAsia" w:hAnsiTheme="minorHAnsi" w:cstheme="minorBidi"/>
          <w:noProof/>
          <w:kern w:val="0"/>
          <w:szCs w:val="22"/>
        </w:rPr>
      </w:pPr>
      <w:hyperlink w:anchor="_Toc26869236" w:history="1">
        <w:r w:rsidR="002B3809" w:rsidRPr="00A06BE2">
          <w:rPr>
            <w:rStyle w:val="Hyperlink"/>
            <w:noProof/>
          </w:rPr>
          <w:t xml:space="preserve">8.  </w:t>
        </w:r>
        <w:r w:rsidR="002B3809">
          <w:rPr>
            <w:rStyle w:val="Hyperlink"/>
            <w:noProof/>
          </w:rPr>
          <w:t xml:space="preserve"> </w:t>
        </w:r>
        <w:r w:rsidR="002B3809" w:rsidRPr="00A06BE2">
          <w:rPr>
            <w:rStyle w:val="Hyperlink"/>
            <w:noProof/>
          </w:rPr>
          <w:t>HOW TO ACCESS THE SERVICE</w:t>
        </w:r>
        <w:r w:rsidR="002B3809">
          <w:rPr>
            <w:noProof/>
            <w:webHidden/>
          </w:rPr>
          <w:tab/>
        </w:r>
        <w:r w:rsidR="002B3809">
          <w:rPr>
            <w:noProof/>
            <w:webHidden/>
          </w:rPr>
          <w:fldChar w:fldCharType="begin"/>
        </w:r>
        <w:r w:rsidR="002B3809">
          <w:rPr>
            <w:noProof/>
            <w:webHidden/>
          </w:rPr>
          <w:instrText xml:space="preserve"> PAGEREF _Toc26869236 \h </w:instrText>
        </w:r>
        <w:r w:rsidR="002B3809">
          <w:rPr>
            <w:noProof/>
            <w:webHidden/>
          </w:rPr>
        </w:r>
        <w:r w:rsidR="002B3809">
          <w:rPr>
            <w:noProof/>
            <w:webHidden/>
          </w:rPr>
          <w:fldChar w:fldCharType="separate"/>
        </w:r>
        <w:r>
          <w:rPr>
            <w:noProof/>
            <w:webHidden/>
          </w:rPr>
          <w:t>10</w:t>
        </w:r>
        <w:r w:rsidR="002B3809">
          <w:rPr>
            <w:noProof/>
            <w:webHidden/>
          </w:rPr>
          <w:fldChar w:fldCharType="end"/>
        </w:r>
      </w:hyperlink>
    </w:p>
    <w:p w14:paraId="7F7814FB" w14:textId="1DC23B91" w:rsidR="002B3809" w:rsidRDefault="004641F0">
      <w:pPr>
        <w:pStyle w:val="TOC1"/>
        <w:rPr>
          <w:rFonts w:asciiTheme="minorHAnsi" w:eastAsiaTheme="minorEastAsia" w:hAnsiTheme="minorHAnsi" w:cstheme="minorBidi"/>
          <w:noProof/>
          <w:kern w:val="0"/>
          <w:szCs w:val="22"/>
        </w:rPr>
      </w:pPr>
      <w:hyperlink w:anchor="_Toc26869237" w:history="1">
        <w:r w:rsidR="002B3809" w:rsidRPr="00A06BE2">
          <w:rPr>
            <w:rStyle w:val="Hyperlink"/>
            <w:noProof/>
          </w:rPr>
          <w:t xml:space="preserve">9.  </w:t>
        </w:r>
        <w:r w:rsidR="002B3809">
          <w:rPr>
            <w:rStyle w:val="Hyperlink"/>
            <w:noProof/>
          </w:rPr>
          <w:t xml:space="preserve"> </w:t>
        </w:r>
        <w:r w:rsidR="002B3809" w:rsidRPr="00A06BE2">
          <w:rPr>
            <w:rStyle w:val="Hyperlink"/>
            <w:noProof/>
          </w:rPr>
          <w:t>THE ELIGIBILITY FRAMEWORK</w:t>
        </w:r>
        <w:r w:rsidR="002B3809">
          <w:rPr>
            <w:noProof/>
            <w:webHidden/>
          </w:rPr>
          <w:tab/>
        </w:r>
        <w:r w:rsidR="002B3809">
          <w:rPr>
            <w:noProof/>
            <w:webHidden/>
          </w:rPr>
          <w:fldChar w:fldCharType="begin"/>
        </w:r>
        <w:r w:rsidR="002B3809">
          <w:rPr>
            <w:noProof/>
            <w:webHidden/>
          </w:rPr>
          <w:instrText xml:space="preserve"> PAGEREF _Toc26869237 \h </w:instrText>
        </w:r>
        <w:r w:rsidR="002B3809">
          <w:rPr>
            <w:noProof/>
            <w:webHidden/>
          </w:rPr>
        </w:r>
        <w:r w:rsidR="002B3809">
          <w:rPr>
            <w:noProof/>
            <w:webHidden/>
          </w:rPr>
          <w:fldChar w:fldCharType="separate"/>
        </w:r>
        <w:r>
          <w:rPr>
            <w:noProof/>
            <w:webHidden/>
          </w:rPr>
          <w:t>10</w:t>
        </w:r>
        <w:r w:rsidR="002B3809">
          <w:rPr>
            <w:noProof/>
            <w:webHidden/>
          </w:rPr>
          <w:fldChar w:fldCharType="end"/>
        </w:r>
      </w:hyperlink>
    </w:p>
    <w:p w14:paraId="3CC9CE34" w14:textId="6F583232" w:rsidR="002B3809" w:rsidRDefault="004641F0">
      <w:pPr>
        <w:pStyle w:val="TOC1"/>
        <w:rPr>
          <w:rFonts w:asciiTheme="minorHAnsi" w:eastAsiaTheme="minorEastAsia" w:hAnsiTheme="minorHAnsi" w:cstheme="minorBidi"/>
          <w:noProof/>
          <w:kern w:val="0"/>
          <w:szCs w:val="22"/>
        </w:rPr>
      </w:pPr>
      <w:hyperlink w:anchor="_Toc26869238" w:history="1">
        <w:r w:rsidR="002B3809" w:rsidRPr="00A06BE2">
          <w:rPr>
            <w:rStyle w:val="Hyperlink"/>
            <w:noProof/>
            <w:shd w:val="clear" w:color="auto" w:fill="FFFFFF"/>
          </w:rPr>
          <w:t>10.  FAST TRACK APPLICATIONS</w:t>
        </w:r>
        <w:r w:rsidR="002B3809">
          <w:rPr>
            <w:noProof/>
            <w:webHidden/>
          </w:rPr>
          <w:tab/>
        </w:r>
        <w:r w:rsidR="002B3809">
          <w:rPr>
            <w:noProof/>
            <w:webHidden/>
          </w:rPr>
          <w:fldChar w:fldCharType="begin"/>
        </w:r>
        <w:r w:rsidR="002B3809">
          <w:rPr>
            <w:noProof/>
            <w:webHidden/>
          </w:rPr>
          <w:instrText xml:space="preserve"> PAGEREF _Toc26869238 \h </w:instrText>
        </w:r>
        <w:r w:rsidR="002B3809">
          <w:rPr>
            <w:noProof/>
            <w:webHidden/>
          </w:rPr>
        </w:r>
        <w:r w:rsidR="002B3809">
          <w:rPr>
            <w:noProof/>
            <w:webHidden/>
          </w:rPr>
          <w:fldChar w:fldCharType="separate"/>
        </w:r>
        <w:r>
          <w:rPr>
            <w:noProof/>
            <w:webHidden/>
          </w:rPr>
          <w:t>12</w:t>
        </w:r>
        <w:r w:rsidR="002B3809">
          <w:rPr>
            <w:noProof/>
            <w:webHidden/>
          </w:rPr>
          <w:fldChar w:fldCharType="end"/>
        </w:r>
      </w:hyperlink>
    </w:p>
    <w:p w14:paraId="24F885D2" w14:textId="405FF901" w:rsidR="002B3809" w:rsidRDefault="004641F0">
      <w:pPr>
        <w:pStyle w:val="TOC1"/>
        <w:rPr>
          <w:rFonts w:asciiTheme="minorHAnsi" w:eastAsiaTheme="minorEastAsia" w:hAnsiTheme="minorHAnsi" w:cstheme="minorBidi"/>
          <w:noProof/>
          <w:kern w:val="0"/>
          <w:szCs w:val="22"/>
        </w:rPr>
      </w:pPr>
      <w:hyperlink w:anchor="_Toc26869239" w:history="1">
        <w:r w:rsidR="002B3809" w:rsidRPr="00A06BE2">
          <w:rPr>
            <w:rStyle w:val="Hyperlink"/>
            <w:noProof/>
            <w:lang w:eastAsia="en-US"/>
          </w:rPr>
          <w:t>12.  COMPLAINTS</w:t>
        </w:r>
        <w:r w:rsidR="002B3809">
          <w:rPr>
            <w:noProof/>
            <w:webHidden/>
          </w:rPr>
          <w:tab/>
        </w:r>
        <w:r w:rsidR="002B3809">
          <w:rPr>
            <w:noProof/>
            <w:webHidden/>
          </w:rPr>
          <w:fldChar w:fldCharType="begin"/>
        </w:r>
        <w:r w:rsidR="002B3809">
          <w:rPr>
            <w:noProof/>
            <w:webHidden/>
          </w:rPr>
          <w:instrText xml:space="preserve"> PAGEREF _Toc26869239 \h </w:instrText>
        </w:r>
        <w:r w:rsidR="002B3809">
          <w:rPr>
            <w:noProof/>
            <w:webHidden/>
          </w:rPr>
        </w:r>
        <w:r w:rsidR="002B3809">
          <w:rPr>
            <w:noProof/>
            <w:webHidden/>
          </w:rPr>
          <w:fldChar w:fldCharType="separate"/>
        </w:r>
        <w:r>
          <w:rPr>
            <w:noProof/>
            <w:webHidden/>
          </w:rPr>
          <w:t>13</w:t>
        </w:r>
        <w:r w:rsidR="002B3809">
          <w:rPr>
            <w:noProof/>
            <w:webHidden/>
          </w:rPr>
          <w:fldChar w:fldCharType="end"/>
        </w:r>
      </w:hyperlink>
    </w:p>
    <w:p w14:paraId="6D329676" w14:textId="23170004" w:rsidR="002B3809" w:rsidRDefault="004641F0">
      <w:pPr>
        <w:pStyle w:val="TOC1"/>
        <w:rPr>
          <w:rFonts w:asciiTheme="minorHAnsi" w:eastAsiaTheme="minorEastAsia" w:hAnsiTheme="minorHAnsi" w:cstheme="minorBidi"/>
          <w:noProof/>
          <w:kern w:val="0"/>
          <w:szCs w:val="22"/>
        </w:rPr>
      </w:pPr>
      <w:hyperlink w:anchor="_Toc26869240" w:history="1">
        <w:r w:rsidR="002B3809" w:rsidRPr="00A06BE2">
          <w:rPr>
            <w:rStyle w:val="Hyperlink"/>
            <w:noProof/>
            <w:lang w:eastAsia="en-US"/>
          </w:rPr>
          <w:t>13.  DISCHARGE PLANNING</w:t>
        </w:r>
        <w:r w:rsidR="002B3809">
          <w:rPr>
            <w:noProof/>
            <w:webHidden/>
          </w:rPr>
          <w:tab/>
        </w:r>
        <w:r w:rsidR="002B3809">
          <w:rPr>
            <w:noProof/>
            <w:webHidden/>
          </w:rPr>
          <w:fldChar w:fldCharType="begin"/>
        </w:r>
        <w:r w:rsidR="002B3809">
          <w:rPr>
            <w:noProof/>
            <w:webHidden/>
          </w:rPr>
          <w:instrText xml:space="preserve"> PAGEREF _Toc26869240 \h </w:instrText>
        </w:r>
        <w:r w:rsidR="002B3809">
          <w:rPr>
            <w:noProof/>
            <w:webHidden/>
          </w:rPr>
        </w:r>
        <w:r w:rsidR="002B3809">
          <w:rPr>
            <w:noProof/>
            <w:webHidden/>
          </w:rPr>
          <w:fldChar w:fldCharType="separate"/>
        </w:r>
        <w:r>
          <w:rPr>
            <w:noProof/>
            <w:webHidden/>
          </w:rPr>
          <w:t>14</w:t>
        </w:r>
        <w:r w:rsidR="002B3809">
          <w:rPr>
            <w:noProof/>
            <w:webHidden/>
          </w:rPr>
          <w:fldChar w:fldCharType="end"/>
        </w:r>
      </w:hyperlink>
    </w:p>
    <w:p w14:paraId="48C33084" w14:textId="07C78346" w:rsidR="002B3809" w:rsidRDefault="004641F0">
      <w:pPr>
        <w:pStyle w:val="TOC1"/>
        <w:rPr>
          <w:rFonts w:asciiTheme="minorHAnsi" w:eastAsiaTheme="minorEastAsia" w:hAnsiTheme="minorHAnsi" w:cstheme="minorBidi"/>
          <w:noProof/>
          <w:kern w:val="0"/>
          <w:szCs w:val="22"/>
        </w:rPr>
      </w:pPr>
      <w:hyperlink w:anchor="_Toc26869241" w:history="1">
        <w:r w:rsidR="002B3809" w:rsidRPr="00A06BE2">
          <w:rPr>
            <w:rStyle w:val="Hyperlink"/>
            <w:noProof/>
          </w:rPr>
          <w:t>14.  SECTION 117 – MENTAL HEALTH AFTERCARE</w:t>
        </w:r>
        <w:r w:rsidR="002B3809">
          <w:rPr>
            <w:noProof/>
            <w:webHidden/>
          </w:rPr>
          <w:tab/>
        </w:r>
        <w:r w:rsidR="002B3809">
          <w:rPr>
            <w:noProof/>
            <w:webHidden/>
          </w:rPr>
          <w:fldChar w:fldCharType="begin"/>
        </w:r>
        <w:r w:rsidR="002B3809">
          <w:rPr>
            <w:noProof/>
            <w:webHidden/>
          </w:rPr>
          <w:instrText xml:space="preserve"> PAGEREF _Toc26869241 \h </w:instrText>
        </w:r>
        <w:r w:rsidR="002B3809">
          <w:rPr>
            <w:noProof/>
            <w:webHidden/>
          </w:rPr>
        </w:r>
        <w:r w:rsidR="002B3809">
          <w:rPr>
            <w:noProof/>
            <w:webHidden/>
          </w:rPr>
          <w:fldChar w:fldCharType="separate"/>
        </w:r>
        <w:r>
          <w:rPr>
            <w:noProof/>
            <w:webHidden/>
          </w:rPr>
          <w:t>14</w:t>
        </w:r>
        <w:r w:rsidR="002B3809">
          <w:rPr>
            <w:noProof/>
            <w:webHidden/>
          </w:rPr>
          <w:fldChar w:fldCharType="end"/>
        </w:r>
      </w:hyperlink>
    </w:p>
    <w:p w14:paraId="03291757" w14:textId="5D5E6855" w:rsidR="002B3809" w:rsidRDefault="004641F0">
      <w:pPr>
        <w:pStyle w:val="TOC1"/>
        <w:rPr>
          <w:rFonts w:asciiTheme="minorHAnsi" w:eastAsiaTheme="minorEastAsia" w:hAnsiTheme="minorHAnsi" w:cstheme="minorBidi"/>
          <w:noProof/>
          <w:kern w:val="0"/>
          <w:szCs w:val="22"/>
        </w:rPr>
      </w:pPr>
      <w:hyperlink w:anchor="_Toc26869242" w:history="1">
        <w:r w:rsidR="002B3809" w:rsidRPr="00A06BE2">
          <w:rPr>
            <w:rStyle w:val="Hyperlink"/>
            <w:noProof/>
          </w:rPr>
          <w:t>15.  MENTAL HEALTH CAPACITY AND DEPRIVATION OF LIBERTY SAFEGUARDS (DoLs)</w:t>
        </w:r>
        <w:r w:rsidR="002B3809">
          <w:rPr>
            <w:noProof/>
            <w:webHidden/>
          </w:rPr>
          <w:tab/>
        </w:r>
        <w:r w:rsidR="002B3809">
          <w:rPr>
            <w:noProof/>
            <w:webHidden/>
          </w:rPr>
          <w:fldChar w:fldCharType="begin"/>
        </w:r>
        <w:r w:rsidR="002B3809">
          <w:rPr>
            <w:noProof/>
            <w:webHidden/>
          </w:rPr>
          <w:instrText xml:space="preserve"> PAGEREF _Toc26869242 \h </w:instrText>
        </w:r>
        <w:r w:rsidR="002B3809">
          <w:rPr>
            <w:noProof/>
            <w:webHidden/>
          </w:rPr>
        </w:r>
        <w:r w:rsidR="002B3809">
          <w:rPr>
            <w:noProof/>
            <w:webHidden/>
          </w:rPr>
          <w:fldChar w:fldCharType="separate"/>
        </w:r>
        <w:r>
          <w:rPr>
            <w:noProof/>
            <w:webHidden/>
          </w:rPr>
          <w:t>15</w:t>
        </w:r>
        <w:r w:rsidR="002B3809">
          <w:rPr>
            <w:noProof/>
            <w:webHidden/>
          </w:rPr>
          <w:fldChar w:fldCharType="end"/>
        </w:r>
      </w:hyperlink>
    </w:p>
    <w:p w14:paraId="5A7120D9" w14:textId="59DD15DF" w:rsidR="002B3809" w:rsidRDefault="004641F0">
      <w:pPr>
        <w:pStyle w:val="TOC1"/>
        <w:rPr>
          <w:rFonts w:asciiTheme="minorHAnsi" w:eastAsiaTheme="minorEastAsia" w:hAnsiTheme="minorHAnsi" w:cstheme="minorBidi"/>
          <w:noProof/>
          <w:kern w:val="0"/>
          <w:szCs w:val="22"/>
        </w:rPr>
      </w:pPr>
      <w:hyperlink w:anchor="_Toc26869243" w:history="1">
        <w:r w:rsidR="002B3809" w:rsidRPr="00A06BE2">
          <w:rPr>
            <w:rStyle w:val="Hyperlink"/>
            <w:noProof/>
            <w:lang w:eastAsia="en-US"/>
          </w:rPr>
          <w:t>16.  COMMISSIONING OF CARE PACKAGES</w:t>
        </w:r>
        <w:r w:rsidR="002B3809">
          <w:rPr>
            <w:noProof/>
            <w:webHidden/>
          </w:rPr>
          <w:tab/>
        </w:r>
        <w:r w:rsidR="002B3809">
          <w:rPr>
            <w:noProof/>
            <w:webHidden/>
          </w:rPr>
          <w:fldChar w:fldCharType="begin"/>
        </w:r>
        <w:r w:rsidR="002B3809">
          <w:rPr>
            <w:noProof/>
            <w:webHidden/>
          </w:rPr>
          <w:instrText xml:space="preserve"> PAGEREF _Toc26869243 \h </w:instrText>
        </w:r>
        <w:r w:rsidR="002B3809">
          <w:rPr>
            <w:noProof/>
            <w:webHidden/>
          </w:rPr>
        </w:r>
        <w:r w:rsidR="002B3809">
          <w:rPr>
            <w:noProof/>
            <w:webHidden/>
          </w:rPr>
          <w:fldChar w:fldCharType="separate"/>
        </w:r>
        <w:r>
          <w:rPr>
            <w:noProof/>
            <w:webHidden/>
          </w:rPr>
          <w:t>15</w:t>
        </w:r>
        <w:r w:rsidR="002B3809">
          <w:rPr>
            <w:noProof/>
            <w:webHidden/>
          </w:rPr>
          <w:fldChar w:fldCharType="end"/>
        </w:r>
      </w:hyperlink>
    </w:p>
    <w:p w14:paraId="4106002C" w14:textId="5AB81E92" w:rsidR="002B3809" w:rsidRDefault="004641F0">
      <w:pPr>
        <w:pStyle w:val="TOC1"/>
        <w:rPr>
          <w:rFonts w:asciiTheme="minorHAnsi" w:eastAsiaTheme="minorEastAsia" w:hAnsiTheme="minorHAnsi" w:cstheme="minorBidi"/>
          <w:noProof/>
          <w:kern w:val="0"/>
          <w:szCs w:val="22"/>
        </w:rPr>
      </w:pPr>
      <w:hyperlink w:anchor="_Toc26869244" w:history="1">
        <w:r w:rsidR="002B3809" w:rsidRPr="00A06BE2">
          <w:rPr>
            <w:rStyle w:val="Hyperlink"/>
            <w:noProof/>
          </w:rPr>
          <w:t>17.  ENDING OF CARE PACKAGES</w:t>
        </w:r>
        <w:r w:rsidR="002B3809">
          <w:rPr>
            <w:noProof/>
            <w:webHidden/>
          </w:rPr>
          <w:tab/>
        </w:r>
        <w:r w:rsidR="002B3809">
          <w:rPr>
            <w:noProof/>
            <w:webHidden/>
          </w:rPr>
          <w:fldChar w:fldCharType="begin"/>
        </w:r>
        <w:r w:rsidR="002B3809">
          <w:rPr>
            <w:noProof/>
            <w:webHidden/>
          </w:rPr>
          <w:instrText xml:space="preserve"> PAGEREF _Toc26869244 \h </w:instrText>
        </w:r>
        <w:r w:rsidR="002B3809">
          <w:rPr>
            <w:noProof/>
            <w:webHidden/>
          </w:rPr>
        </w:r>
        <w:r w:rsidR="002B3809">
          <w:rPr>
            <w:noProof/>
            <w:webHidden/>
          </w:rPr>
          <w:fldChar w:fldCharType="separate"/>
        </w:r>
        <w:r>
          <w:rPr>
            <w:noProof/>
            <w:webHidden/>
          </w:rPr>
          <w:t>15</w:t>
        </w:r>
        <w:r w:rsidR="002B3809">
          <w:rPr>
            <w:noProof/>
            <w:webHidden/>
          </w:rPr>
          <w:fldChar w:fldCharType="end"/>
        </w:r>
      </w:hyperlink>
    </w:p>
    <w:p w14:paraId="1E417293" w14:textId="361EA329" w:rsidR="002B3809" w:rsidRDefault="004641F0">
      <w:pPr>
        <w:pStyle w:val="TOC1"/>
        <w:rPr>
          <w:rFonts w:asciiTheme="minorHAnsi" w:eastAsiaTheme="minorEastAsia" w:hAnsiTheme="minorHAnsi" w:cstheme="minorBidi"/>
          <w:noProof/>
          <w:kern w:val="0"/>
          <w:szCs w:val="22"/>
        </w:rPr>
      </w:pPr>
      <w:hyperlink w:anchor="_Toc26869245" w:history="1">
        <w:r w:rsidR="002B3809" w:rsidRPr="00A06BE2">
          <w:rPr>
            <w:rStyle w:val="Hyperlink"/>
            <w:noProof/>
          </w:rPr>
          <w:t>18.  CHOICE</w:t>
        </w:r>
        <w:r w:rsidR="002B3809">
          <w:rPr>
            <w:noProof/>
            <w:webHidden/>
          </w:rPr>
          <w:tab/>
        </w:r>
        <w:r w:rsidR="002B3809">
          <w:rPr>
            <w:noProof/>
            <w:webHidden/>
          </w:rPr>
          <w:fldChar w:fldCharType="begin"/>
        </w:r>
        <w:r w:rsidR="002B3809">
          <w:rPr>
            <w:noProof/>
            <w:webHidden/>
          </w:rPr>
          <w:instrText xml:space="preserve"> PAGEREF _Toc26869245 \h </w:instrText>
        </w:r>
        <w:r w:rsidR="002B3809">
          <w:rPr>
            <w:noProof/>
            <w:webHidden/>
          </w:rPr>
        </w:r>
        <w:r w:rsidR="002B3809">
          <w:rPr>
            <w:noProof/>
            <w:webHidden/>
          </w:rPr>
          <w:fldChar w:fldCharType="separate"/>
        </w:r>
        <w:r>
          <w:rPr>
            <w:noProof/>
            <w:webHidden/>
          </w:rPr>
          <w:t>16</w:t>
        </w:r>
        <w:r w:rsidR="002B3809">
          <w:rPr>
            <w:noProof/>
            <w:webHidden/>
          </w:rPr>
          <w:fldChar w:fldCharType="end"/>
        </w:r>
      </w:hyperlink>
    </w:p>
    <w:p w14:paraId="4FD53C08" w14:textId="0BCF977B" w:rsidR="002B3809" w:rsidRDefault="004641F0">
      <w:pPr>
        <w:pStyle w:val="TOC1"/>
        <w:rPr>
          <w:rFonts w:asciiTheme="minorHAnsi" w:eastAsiaTheme="minorEastAsia" w:hAnsiTheme="minorHAnsi" w:cstheme="minorBidi"/>
          <w:noProof/>
          <w:kern w:val="0"/>
          <w:szCs w:val="22"/>
        </w:rPr>
      </w:pPr>
      <w:hyperlink w:anchor="_Toc26869246" w:history="1">
        <w:r w:rsidR="002B3809" w:rsidRPr="00A06BE2">
          <w:rPr>
            <w:rStyle w:val="Hyperlink"/>
            <w:noProof/>
          </w:rPr>
          <w:t>19.  JOINT/INTEGRATED PACKAGES OF HEALTH AND SOCIAL CARE SERVICES</w:t>
        </w:r>
        <w:r w:rsidR="002B3809">
          <w:rPr>
            <w:noProof/>
            <w:webHidden/>
          </w:rPr>
          <w:tab/>
        </w:r>
        <w:r w:rsidR="002B3809">
          <w:rPr>
            <w:noProof/>
            <w:webHidden/>
          </w:rPr>
          <w:fldChar w:fldCharType="begin"/>
        </w:r>
        <w:r w:rsidR="002B3809">
          <w:rPr>
            <w:noProof/>
            <w:webHidden/>
          </w:rPr>
          <w:instrText xml:space="preserve"> PAGEREF _Toc26869246 \h </w:instrText>
        </w:r>
        <w:r w:rsidR="002B3809">
          <w:rPr>
            <w:noProof/>
            <w:webHidden/>
          </w:rPr>
        </w:r>
        <w:r w:rsidR="002B3809">
          <w:rPr>
            <w:noProof/>
            <w:webHidden/>
          </w:rPr>
          <w:fldChar w:fldCharType="separate"/>
        </w:r>
        <w:r>
          <w:rPr>
            <w:noProof/>
            <w:webHidden/>
          </w:rPr>
          <w:t>16</w:t>
        </w:r>
        <w:r w:rsidR="002B3809">
          <w:rPr>
            <w:noProof/>
            <w:webHidden/>
          </w:rPr>
          <w:fldChar w:fldCharType="end"/>
        </w:r>
      </w:hyperlink>
    </w:p>
    <w:p w14:paraId="426CD573" w14:textId="585EB9EB" w:rsidR="002B3809" w:rsidRDefault="004641F0">
      <w:pPr>
        <w:pStyle w:val="TOC1"/>
        <w:rPr>
          <w:rFonts w:asciiTheme="minorHAnsi" w:eastAsiaTheme="minorEastAsia" w:hAnsiTheme="minorHAnsi" w:cstheme="minorBidi"/>
          <w:noProof/>
          <w:kern w:val="0"/>
          <w:szCs w:val="22"/>
        </w:rPr>
      </w:pPr>
      <w:hyperlink w:anchor="_Toc26869247" w:history="1">
        <w:r w:rsidR="002B3809" w:rsidRPr="00A06BE2">
          <w:rPr>
            <w:rStyle w:val="Hyperlink"/>
            <w:noProof/>
          </w:rPr>
          <w:t>20.  PERSONAL HEALTH BUDGETS</w:t>
        </w:r>
        <w:r w:rsidR="002B3809">
          <w:rPr>
            <w:noProof/>
            <w:webHidden/>
          </w:rPr>
          <w:tab/>
        </w:r>
        <w:r w:rsidR="002B3809">
          <w:rPr>
            <w:noProof/>
            <w:webHidden/>
          </w:rPr>
          <w:fldChar w:fldCharType="begin"/>
        </w:r>
        <w:r w:rsidR="002B3809">
          <w:rPr>
            <w:noProof/>
            <w:webHidden/>
          </w:rPr>
          <w:instrText xml:space="preserve"> PAGEREF _Toc26869247 \h </w:instrText>
        </w:r>
        <w:r w:rsidR="002B3809">
          <w:rPr>
            <w:noProof/>
            <w:webHidden/>
          </w:rPr>
        </w:r>
        <w:r w:rsidR="002B3809">
          <w:rPr>
            <w:noProof/>
            <w:webHidden/>
          </w:rPr>
          <w:fldChar w:fldCharType="separate"/>
        </w:r>
        <w:r>
          <w:rPr>
            <w:noProof/>
            <w:webHidden/>
          </w:rPr>
          <w:t>17</w:t>
        </w:r>
        <w:r w:rsidR="002B3809">
          <w:rPr>
            <w:noProof/>
            <w:webHidden/>
          </w:rPr>
          <w:fldChar w:fldCharType="end"/>
        </w:r>
      </w:hyperlink>
    </w:p>
    <w:p w14:paraId="64456EBF" w14:textId="47F88C71" w:rsidR="002B3809" w:rsidRDefault="004641F0">
      <w:pPr>
        <w:pStyle w:val="TOC1"/>
        <w:rPr>
          <w:rFonts w:asciiTheme="minorHAnsi" w:eastAsiaTheme="minorEastAsia" w:hAnsiTheme="minorHAnsi" w:cstheme="minorBidi"/>
          <w:noProof/>
          <w:kern w:val="0"/>
          <w:szCs w:val="22"/>
        </w:rPr>
      </w:pPr>
      <w:hyperlink w:anchor="_Toc26869248" w:history="1">
        <w:r w:rsidR="002B3809" w:rsidRPr="00A06BE2">
          <w:rPr>
            <w:rStyle w:val="Hyperlink"/>
            <w:noProof/>
          </w:rPr>
          <w:t>21. TRANSITION FROM CHILDREN’S SERVICES TO ADULT CONTINUING HEALTH CARE SERVICES</w:t>
        </w:r>
        <w:r w:rsidR="002B3809">
          <w:rPr>
            <w:noProof/>
            <w:webHidden/>
          </w:rPr>
          <w:tab/>
        </w:r>
        <w:r w:rsidR="002B3809">
          <w:rPr>
            <w:noProof/>
            <w:webHidden/>
          </w:rPr>
          <w:fldChar w:fldCharType="begin"/>
        </w:r>
        <w:r w:rsidR="002B3809">
          <w:rPr>
            <w:noProof/>
            <w:webHidden/>
          </w:rPr>
          <w:instrText xml:space="preserve"> PAGEREF _Toc26869248 \h </w:instrText>
        </w:r>
        <w:r w:rsidR="002B3809">
          <w:rPr>
            <w:noProof/>
            <w:webHidden/>
          </w:rPr>
        </w:r>
        <w:r w:rsidR="002B3809">
          <w:rPr>
            <w:noProof/>
            <w:webHidden/>
          </w:rPr>
          <w:fldChar w:fldCharType="separate"/>
        </w:r>
        <w:r>
          <w:rPr>
            <w:noProof/>
            <w:webHidden/>
          </w:rPr>
          <w:t>17</w:t>
        </w:r>
        <w:r w:rsidR="002B3809">
          <w:rPr>
            <w:noProof/>
            <w:webHidden/>
          </w:rPr>
          <w:fldChar w:fldCharType="end"/>
        </w:r>
      </w:hyperlink>
    </w:p>
    <w:p w14:paraId="56B68AA6" w14:textId="3F2E08B6" w:rsidR="002B3809" w:rsidRDefault="004641F0">
      <w:pPr>
        <w:pStyle w:val="TOC1"/>
        <w:rPr>
          <w:rFonts w:asciiTheme="minorHAnsi" w:eastAsiaTheme="minorEastAsia" w:hAnsiTheme="minorHAnsi" w:cstheme="minorBidi"/>
          <w:noProof/>
          <w:kern w:val="0"/>
          <w:szCs w:val="22"/>
        </w:rPr>
      </w:pPr>
      <w:hyperlink w:anchor="_Toc26869249" w:history="1">
        <w:r w:rsidR="002B3809" w:rsidRPr="00A06BE2">
          <w:rPr>
            <w:rStyle w:val="Hyperlink"/>
            <w:noProof/>
          </w:rPr>
          <w:t>22. JOINT COMMISSIONING FOR SPECIAL EDUCATIONAL NEEDS AND DISABILITY (SEND)</w:t>
        </w:r>
        <w:r w:rsidR="002B3809">
          <w:rPr>
            <w:noProof/>
            <w:webHidden/>
          </w:rPr>
          <w:tab/>
        </w:r>
        <w:r w:rsidR="002B3809">
          <w:rPr>
            <w:noProof/>
            <w:webHidden/>
          </w:rPr>
          <w:fldChar w:fldCharType="begin"/>
        </w:r>
        <w:r w:rsidR="002B3809">
          <w:rPr>
            <w:noProof/>
            <w:webHidden/>
          </w:rPr>
          <w:instrText xml:space="preserve"> PAGEREF _Toc26869249 \h </w:instrText>
        </w:r>
        <w:r w:rsidR="002B3809">
          <w:rPr>
            <w:noProof/>
            <w:webHidden/>
          </w:rPr>
        </w:r>
        <w:r w:rsidR="002B3809">
          <w:rPr>
            <w:noProof/>
            <w:webHidden/>
          </w:rPr>
          <w:fldChar w:fldCharType="separate"/>
        </w:r>
        <w:r>
          <w:rPr>
            <w:noProof/>
            <w:webHidden/>
          </w:rPr>
          <w:t>18</w:t>
        </w:r>
        <w:r w:rsidR="002B3809">
          <w:rPr>
            <w:noProof/>
            <w:webHidden/>
          </w:rPr>
          <w:fldChar w:fldCharType="end"/>
        </w:r>
      </w:hyperlink>
    </w:p>
    <w:p w14:paraId="33F1E669" w14:textId="7023743F" w:rsidR="002B3809" w:rsidRDefault="004641F0">
      <w:pPr>
        <w:pStyle w:val="TOC1"/>
        <w:rPr>
          <w:rFonts w:asciiTheme="minorHAnsi" w:eastAsiaTheme="minorEastAsia" w:hAnsiTheme="minorHAnsi" w:cstheme="minorBidi"/>
          <w:noProof/>
          <w:kern w:val="0"/>
          <w:szCs w:val="22"/>
        </w:rPr>
      </w:pPr>
      <w:hyperlink w:anchor="_Toc26869250" w:history="1">
        <w:r w:rsidR="002B3809" w:rsidRPr="00A06BE2">
          <w:rPr>
            <w:rStyle w:val="Hyperlink"/>
            <w:noProof/>
          </w:rPr>
          <w:t>23.  TRAINING</w:t>
        </w:r>
        <w:r w:rsidR="002B3809">
          <w:rPr>
            <w:noProof/>
            <w:webHidden/>
          </w:rPr>
          <w:tab/>
        </w:r>
        <w:r w:rsidR="002B3809">
          <w:rPr>
            <w:noProof/>
            <w:webHidden/>
          </w:rPr>
          <w:fldChar w:fldCharType="begin"/>
        </w:r>
        <w:r w:rsidR="002B3809">
          <w:rPr>
            <w:noProof/>
            <w:webHidden/>
          </w:rPr>
          <w:instrText xml:space="preserve"> PAGEREF _Toc26869250 \h </w:instrText>
        </w:r>
        <w:r w:rsidR="002B3809">
          <w:rPr>
            <w:noProof/>
            <w:webHidden/>
          </w:rPr>
        </w:r>
        <w:r w:rsidR="002B3809">
          <w:rPr>
            <w:noProof/>
            <w:webHidden/>
          </w:rPr>
          <w:fldChar w:fldCharType="separate"/>
        </w:r>
        <w:r>
          <w:rPr>
            <w:noProof/>
            <w:webHidden/>
          </w:rPr>
          <w:t>19</w:t>
        </w:r>
        <w:r w:rsidR="002B3809">
          <w:rPr>
            <w:noProof/>
            <w:webHidden/>
          </w:rPr>
          <w:fldChar w:fldCharType="end"/>
        </w:r>
      </w:hyperlink>
    </w:p>
    <w:p w14:paraId="62211765" w14:textId="5584D89B" w:rsidR="002B3809" w:rsidRDefault="004641F0">
      <w:pPr>
        <w:pStyle w:val="TOC1"/>
        <w:rPr>
          <w:rFonts w:asciiTheme="minorHAnsi" w:eastAsiaTheme="minorEastAsia" w:hAnsiTheme="minorHAnsi" w:cstheme="minorBidi"/>
          <w:noProof/>
          <w:kern w:val="0"/>
          <w:szCs w:val="22"/>
        </w:rPr>
      </w:pPr>
      <w:hyperlink w:anchor="_Toc26869251" w:history="1">
        <w:r w:rsidR="002B3809" w:rsidRPr="00A06BE2">
          <w:rPr>
            <w:rStyle w:val="Hyperlink"/>
            <w:noProof/>
          </w:rPr>
          <w:t>24.  GOVERNANCE</w:t>
        </w:r>
        <w:r w:rsidR="002B3809">
          <w:rPr>
            <w:noProof/>
            <w:webHidden/>
          </w:rPr>
          <w:tab/>
        </w:r>
        <w:r w:rsidR="002B3809">
          <w:rPr>
            <w:noProof/>
            <w:webHidden/>
          </w:rPr>
          <w:fldChar w:fldCharType="begin"/>
        </w:r>
        <w:r w:rsidR="002B3809">
          <w:rPr>
            <w:noProof/>
            <w:webHidden/>
          </w:rPr>
          <w:instrText xml:space="preserve"> PAGEREF _Toc26869251 \h </w:instrText>
        </w:r>
        <w:r w:rsidR="002B3809">
          <w:rPr>
            <w:noProof/>
            <w:webHidden/>
          </w:rPr>
        </w:r>
        <w:r w:rsidR="002B3809">
          <w:rPr>
            <w:noProof/>
            <w:webHidden/>
          </w:rPr>
          <w:fldChar w:fldCharType="separate"/>
        </w:r>
        <w:r>
          <w:rPr>
            <w:noProof/>
            <w:webHidden/>
          </w:rPr>
          <w:t>19</w:t>
        </w:r>
        <w:r w:rsidR="002B3809">
          <w:rPr>
            <w:noProof/>
            <w:webHidden/>
          </w:rPr>
          <w:fldChar w:fldCharType="end"/>
        </w:r>
      </w:hyperlink>
    </w:p>
    <w:p w14:paraId="2A8B61F2" w14:textId="6EE308BE" w:rsidR="002B3809" w:rsidRDefault="004641F0">
      <w:pPr>
        <w:pStyle w:val="TOC1"/>
        <w:rPr>
          <w:rFonts w:asciiTheme="minorHAnsi" w:eastAsiaTheme="minorEastAsia" w:hAnsiTheme="minorHAnsi" w:cstheme="minorBidi"/>
          <w:noProof/>
          <w:kern w:val="0"/>
          <w:szCs w:val="22"/>
        </w:rPr>
      </w:pPr>
      <w:hyperlink w:anchor="_Toc26869252" w:history="1">
        <w:r w:rsidR="002B3809" w:rsidRPr="00A06BE2">
          <w:rPr>
            <w:rStyle w:val="Hyperlink"/>
            <w:noProof/>
          </w:rPr>
          <w:t>25.  SOURCES OF GUIDANCE</w:t>
        </w:r>
        <w:r w:rsidR="002B3809">
          <w:rPr>
            <w:noProof/>
            <w:webHidden/>
          </w:rPr>
          <w:tab/>
        </w:r>
        <w:r w:rsidR="002B3809">
          <w:rPr>
            <w:noProof/>
            <w:webHidden/>
          </w:rPr>
          <w:fldChar w:fldCharType="begin"/>
        </w:r>
        <w:r w:rsidR="002B3809">
          <w:rPr>
            <w:noProof/>
            <w:webHidden/>
          </w:rPr>
          <w:instrText xml:space="preserve"> PAGEREF _Toc26869252 \h </w:instrText>
        </w:r>
        <w:r w:rsidR="002B3809">
          <w:rPr>
            <w:noProof/>
            <w:webHidden/>
          </w:rPr>
        </w:r>
        <w:r w:rsidR="002B3809">
          <w:rPr>
            <w:noProof/>
            <w:webHidden/>
          </w:rPr>
          <w:fldChar w:fldCharType="separate"/>
        </w:r>
        <w:r>
          <w:rPr>
            <w:noProof/>
            <w:webHidden/>
          </w:rPr>
          <w:t>19</w:t>
        </w:r>
        <w:r w:rsidR="002B3809">
          <w:rPr>
            <w:noProof/>
            <w:webHidden/>
          </w:rPr>
          <w:fldChar w:fldCharType="end"/>
        </w:r>
      </w:hyperlink>
    </w:p>
    <w:p w14:paraId="40395C1A" w14:textId="20338445" w:rsidR="002B3809" w:rsidRDefault="004641F0">
      <w:pPr>
        <w:pStyle w:val="TOC1"/>
        <w:rPr>
          <w:rFonts w:asciiTheme="minorHAnsi" w:eastAsiaTheme="minorEastAsia" w:hAnsiTheme="minorHAnsi" w:cstheme="minorBidi"/>
          <w:noProof/>
          <w:kern w:val="0"/>
          <w:szCs w:val="22"/>
        </w:rPr>
      </w:pPr>
      <w:hyperlink w:anchor="_Toc26869253" w:history="1">
        <w:r w:rsidR="002B3809" w:rsidRPr="00A06BE2">
          <w:rPr>
            <w:rStyle w:val="Hyperlink"/>
            <w:noProof/>
          </w:rPr>
          <w:t>APPENDIX 1</w:t>
        </w:r>
        <w:r w:rsidR="002B3809">
          <w:rPr>
            <w:noProof/>
            <w:webHidden/>
          </w:rPr>
          <w:tab/>
        </w:r>
        <w:r w:rsidR="002B3809">
          <w:rPr>
            <w:noProof/>
            <w:webHidden/>
          </w:rPr>
          <w:fldChar w:fldCharType="begin"/>
        </w:r>
        <w:r w:rsidR="002B3809">
          <w:rPr>
            <w:noProof/>
            <w:webHidden/>
          </w:rPr>
          <w:instrText xml:space="preserve"> PAGEREF _Toc26869253 \h </w:instrText>
        </w:r>
        <w:r w:rsidR="002B3809">
          <w:rPr>
            <w:noProof/>
            <w:webHidden/>
          </w:rPr>
        </w:r>
        <w:r w:rsidR="002B3809">
          <w:rPr>
            <w:noProof/>
            <w:webHidden/>
          </w:rPr>
          <w:fldChar w:fldCharType="separate"/>
        </w:r>
        <w:r>
          <w:rPr>
            <w:noProof/>
            <w:webHidden/>
          </w:rPr>
          <w:t>20</w:t>
        </w:r>
        <w:r w:rsidR="002B3809">
          <w:rPr>
            <w:noProof/>
            <w:webHidden/>
          </w:rPr>
          <w:fldChar w:fldCharType="end"/>
        </w:r>
      </w:hyperlink>
    </w:p>
    <w:p w14:paraId="738F2D74" w14:textId="684BB58B" w:rsidR="002B3809" w:rsidRDefault="004641F0">
      <w:pPr>
        <w:pStyle w:val="TOC1"/>
        <w:rPr>
          <w:rFonts w:asciiTheme="minorHAnsi" w:eastAsiaTheme="minorEastAsia" w:hAnsiTheme="minorHAnsi" w:cstheme="minorBidi"/>
          <w:noProof/>
          <w:kern w:val="0"/>
          <w:szCs w:val="22"/>
        </w:rPr>
      </w:pPr>
      <w:hyperlink w:anchor="_Toc26869254" w:history="1">
        <w:r w:rsidR="002B3809" w:rsidRPr="00A06BE2">
          <w:rPr>
            <w:rStyle w:val="Hyperlink"/>
            <w:noProof/>
            <w:lang w:val="en-US"/>
          </w:rPr>
          <w:t>APPENDIX 2</w:t>
        </w:r>
        <w:r w:rsidR="002B3809">
          <w:rPr>
            <w:noProof/>
            <w:webHidden/>
          </w:rPr>
          <w:tab/>
        </w:r>
        <w:r w:rsidR="002B3809">
          <w:rPr>
            <w:noProof/>
            <w:webHidden/>
          </w:rPr>
          <w:fldChar w:fldCharType="begin"/>
        </w:r>
        <w:r w:rsidR="002B3809">
          <w:rPr>
            <w:noProof/>
            <w:webHidden/>
          </w:rPr>
          <w:instrText xml:space="preserve"> PAGEREF _Toc26869254 \h </w:instrText>
        </w:r>
        <w:r w:rsidR="002B3809">
          <w:rPr>
            <w:noProof/>
            <w:webHidden/>
          </w:rPr>
        </w:r>
        <w:r w:rsidR="002B3809">
          <w:rPr>
            <w:noProof/>
            <w:webHidden/>
          </w:rPr>
          <w:fldChar w:fldCharType="separate"/>
        </w:r>
        <w:r>
          <w:rPr>
            <w:noProof/>
            <w:webHidden/>
          </w:rPr>
          <w:t>22</w:t>
        </w:r>
        <w:r w:rsidR="002B3809">
          <w:rPr>
            <w:noProof/>
            <w:webHidden/>
          </w:rPr>
          <w:fldChar w:fldCharType="end"/>
        </w:r>
      </w:hyperlink>
    </w:p>
    <w:p w14:paraId="56CFBD71" w14:textId="0B29C104" w:rsidR="002B3809" w:rsidRDefault="004641F0">
      <w:pPr>
        <w:pStyle w:val="TOC1"/>
        <w:rPr>
          <w:rFonts w:asciiTheme="minorHAnsi" w:eastAsiaTheme="minorEastAsia" w:hAnsiTheme="minorHAnsi" w:cstheme="minorBidi"/>
          <w:noProof/>
          <w:kern w:val="0"/>
          <w:szCs w:val="22"/>
        </w:rPr>
      </w:pPr>
      <w:hyperlink w:anchor="_Toc26869255" w:history="1">
        <w:r w:rsidR="002B3809" w:rsidRPr="00A06BE2">
          <w:rPr>
            <w:rStyle w:val="Hyperlink"/>
            <w:noProof/>
            <w:lang w:val="en-US"/>
          </w:rPr>
          <w:t>APPENDIX 3</w:t>
        </w:r>
        <w:r w:rsidR="002B3809">
          <w:rPr>
            <w:noProof/>
            <w:webHidden/>
          </w:rPr>
          <w:tab/>
        </w:r>
        <w:r w:rsidR="002B3809">
          <w:rPr>
            <w:noProof/>
            <w:webHidden/>
          </w:rPr>
          <w:fldChar w:fldCharType="begin"/>
        </w:r>
        <w:r w:rsidR="002B3809">
          <w:rPr>
            <w:noProof/>
            <w:webHidden/>
          </w:rPr>
          <w:instrText xml:space="preserve"> PAGEREF _Toc26869255 \h </w:instrText>
        </w:r>
        <w:r w:rsidR="002B3809">
          <w:rPr>
            <w:noProof/>
            <w:webHidden/>
          </w:rPr>
        </w:r>
        <w:r w:rsidR="002B3809">
          <w:rPr>
            <w:noProof/>
            <w:webHidden/>
          </w:rPr>
          <w:fldChar w:fldCharType="separate"/>
        </w:r>
        <w:r>
          <w:rPr>
            <w:noProof/>
            <w:webHidden/>
          </w:rPr>
          <w:t>25</w:t>
        </w:r>
        <w:r w:rsidR="002B3809">
          <w:rPr>
            <w:noProof/>
            <w:webHidden/>
          </w:rPr>
          <w:fldChar w:fldCharType="end"/>
        </w:r>
      </w:hyperlink>
    </w:p>
    <w:p w14:paraId="7AA36D17" w14:textId="77777777" w:rsidR="0004255F" w:rsidRDefault="00670A84">
      <w:pPr>
        <w:rPr>
          <w:b/>
          <w:bCs/>
          <w:noProof/>
        </w:rPr>
        <w:sectPr w:rsidR="0004255F" w:rsidSect="0004255F">
          <w:headerReference w:type="default" r:id="rId8"/>
          <w:footerReference w:type="default" r:id="rId9"/>
          <w:headerReference w:type="first" r:id="rId10"/>
          <w:pgSz w:w="11906" w:h="16838"/>
          <w:pgMar w:top="1440" w:right="851" w:bottom="1440" w:left="851" w:header="709" w:footer="709" w:gutter="0"/>
          <w:cols w:space="720"/>
          <w:titlePg/>
          <w:docGrid w:linePitch="360" w:charSpace="-2049"/>
        </w:sectPr>
      </w:pPr>
      <w:r>
        <w:rPr>
          <w:b/>
          <w:bCs/>
          <w:noProof/>
        </w:rPr>
        <w:fldChar w:fldCharType="end"/>
      </w:r>
    </w:p>
    <w:p w14:paraId="6A9D11C6" w14:textId="77777777" w:rsidR="00497B7E" w:rsidRPr="004F0BD3" w:rsidRDefault="00497B7E" w:rsidP="005C4F79">
      <w:pPr>
        <w:pStyle w:val="Heading1"/>
      </w:pPr>
      <w:bookmarkStart w:id="0" w:name="_Toc26869229"/>
      <w:r w:rsidRPr="004F0BD3">
        <w:lastRenderedPageBreak/>
        <w:t>1.</w:t>
      </w:r>
      <w:r w:rsidRPr="004F0BD3">
        <w:rPr>
          <w:rStyle w:val="Heading1Char"/>
          <w:b/>
        </w:rPr>
        <w:tab/>
        <w:t>INTRODUCTION</w:t>
      </w:r>
      <w:bookmarkEnd w:id="0"/>
      <w:r w:rsidRPr="004F0BD3">
        <w:t xml:space="preserve">  </w:t>
      </w:r>
    </w:p>
    <w:p w14:paraId="26BFD40A" w14:textId="77777777" w:rsidR="004F0BD3" w:rsidRDefault="004F0BD3" w:rsidP="00497B7E">
      <w:pPr>
        <w:spacing w:line="240" w:lineRule="auto"/>
        <w:rPr>
          <w:rFonts w:cs="Arial"/>
          <w:kern w:val="0"/>
          <w:szCs w:val="22"/>
          <w:lang w:eastAsia="en-US"/>
        </w:rPr>
      </w:pPr>
    </w:p>
    <w:p w14:paraId="283647D2" w14:textId="77777777" w:rsidR="00497B7E" w:rsidRPr="00A868F0" w:rsidRDefault="00497B7E" w:rsidP="002E3D50">
      <w:pPr>
        <w:spacing w:line="240" w:lineRule="auto"/>
        <w:rPr>
          <w:rFonts w:cs="Arial"/>
          <w:kern w:val="0"/>
          <w:szCs w:val="22"/>
          <w:lang w:eastAsia="en-US"/>
        </w:rPr>
      </w:pPr>
      <w:r w:rsidRPr="00A868F0">
        <w:rPr>
          <w:rFonts w:cs="Arial"/>
          <w:kern w:val="0"/>
          <w:szCs w:val="22"/>
          <w:lang w:eastAsia="en-US"/>
        </w:rPr>
        <w:t xml:space="preserve">This </w:t>
      </w:r>
      <w:r>
        <w:rPr>
          <w:rFonts w:cs="Arial"/>
          <w:kern w:val="0"/>
          <w:szCs w:val="22"/>
          <w:lang w:eastAsia="en-US"/>
        </w:rPr>
        <w:t xml:space="preserve">Operational </w:t>
      </w:r>
      <w:r w:rsidRPr="00A868F0">
        <w:rPr>
          <w:rFonts w:cs="Arial"/>
          <w:kern w:val="0"/>
          <w:szCs w:val="22"/>
          <w:lang w:eastAsia="en-US"/>
        </w:rPr>
        <w:t xml:space="preserve">Policy </w:t>
      </w:r>
      <w:r>
        <w:rPr>
          <w:rFonts w:cs="Arial"/>
          <w:kern w:val="0"/>
          <w:szCs w:val="22"/>
          <w:lang w:eastAsia="en-US"/>
        </w:rPr>
        <w:t xml:space="preserve">is the overarching statement of the </w:t>
      </w:r>
      <w:r w:rsidRPr="00A868F0">
        <w:rPr>
          <w:rFonts w:cs="Arial"/>
          <w:kern w:val="0"/>
          <w:szCs w:val="22"/>
          <w:lang w:eastAsia="en-US"/>
        </w:rPr>
        <w:t>principles for the provision of a NHS Continuing Healthcare (CHC) service across North East Lincolnshire Clinical Commissioning Group (NELCCG). The service will be delivered by NELCCG’s Continuing Health Care Team in line with the National Framework for NHS Continuing Healthcare (2012).</w:t>
      </w:r>
    </w:p>
    <w:p w14:paraId="456E0201" w14:textId="77777777" w:rsidR="00497B7E" w:rsidRPr="00A868F0" w:rsidRDefault="00497B7E" w:rsidP="00E15FDF">
      <w:pPr>
        <w:spacing w:line="120" w:lineRule="auto"/>
        <w:rPr>
          <w:rFonts w:cs="Arial"/>
          <w:kern w:val="0"/>
          <w:szCs w:val="22"/>
          <w:lang w:eastAsia="en-US"/>
        </w:rPr>
      </w:pPr>
    </w:p>
    <w:p w14:paraId="284FBB7A" w14:textId="77777777" w:rsidR="00497B7E" w:rsidRPr="00A868F0" w:rsidRDefault="00497B7E" w:rsidP="00497B7E">
      <w:pPr>
        <w:spacing w:line="240" w:lineRule="auto"/>
        <w:rPr>
          <w:rFonts w:cs="Arial"/>
          <w:kern w:val="0"/>
          <w:szCs w:val="22"/>
          <w:lang w:eastAsia="en-US"/>
        </w:rPr>
      </w:pPr>
      <w:r w:rsidRPr="00A868F0">
        <w:rPr>
          <w:rFonts w:cs="Arial"/>
          <w:kern w:val="0"/>
          <w:szCs w:val="22"/>
          <w:lang w:eastAsia="en-US"/>
        </w:rPr>
        <w:t>The National Framework for NHS Continuing Healthcare and Funded Nursing Care (revised 20</w:t>
      </w:r>
      <w:r w:rsidR="009944E6">
        <w:rPr>
          <w:rFonts w:cs="Arial"/>
          <w:kern w:val="0"/>
          <w:szCs w:val="22"/>
          <w:lang w:eastAsia="en-US"/>
        </w:rPr>
        <w:t>18</w:t>
      </w:r>
      <w:r w:rsidRPr="00A868F0">
        <w:rPr>
          <w:rFonts w:cs="Arial"/>
          <w:kern w:val="0"/>
          <w:szCs w:val="22"/>
          <w:lang w:eastAsia="en-US"/>
        </w:rPr>
        <w:t xml:space="preserve">) sets out the principles and processes for the implementation of NHS funded care and it provides national tools to be used in assessment applications and for Fast Track cases. </w:t>
      </w:r>
    </w:p>
    <w:p w14:paraId="15D80C5E" w14:textId="77777777" w:rsidR="00497B7E" w:rsidRPr="00A868F0" w:rsidRDefault="00497B7E" w:rsidP="00E15FDF">
      <w:pPr>
        <w:spacing w:line="120" w:lineRule="auto"/>
        <w:rPr>
          <w:rFonts w:cs="Arial"/>
          <w:kern w:val="0"/>
          <w:szCs w:val="22"/>
          <w:lang w:eastAsia="en-US"/>
        </w:rPr>
      </w:pPr>
    </w:p>
    <w:p w14:paraId="1C5F2BD9" w14:textId="77777777" w:rsidR="00497B7E" w:rsidRDefault="00497B7E" w:rsidP="00497B7E">
      <w:pPr>
        <w:autoSpaceDE w:val="0"/>
        <w:autoSpaceDN w:val="0"/>
        <w:adjustRightInd w:val="0"/>
        <w:spacing w:line="240" w:lineRule="auto"/>
        <w:rPr>
          <w:rFonts w:eastAsia="Calibri" w:cs="Arial"/>
          <w:color w:val="000000"/>
          <w:kern w:val="0"/>
          <w:szCs w:val="22"/>
          <w:lang w:eastAsia="en-US"/>
        </w:rPr>
      </w:pPr>
      <w:r w:rsidRPr="00A868F0">
        <w:rPr>
          <w:rFonts w:eastAsia="Calibri" w:cs="Arial"/>
          <w:color w:val="000000"/>
          <w:kern w:val="0"/>
          <w:szCs w:val="22"/>
          <w:lang w:eastAsia="en-US"/>
        </w:rPr>
        <w:t xml:space="preserve">NELCCG CHC NHS/Social care funding and commissioning principles are intended for people who are ordinarily resident in England. Therefore free NHS Continuing Healthcare or Funded Nursing Care commissioned by the CCG for care needs </w:t>
      </w:r>
      <w:r w:rsidR="0000369F">
        <w:rPr>
          <w:rFonts w:eastAsia="Calibri" w:cs="Arial"/>
          <w:color w:val="000000"/>
          <w:kern w:val="0"/>
          <w:szCs w:val="22"/>
          <w:lang w:eastAsia="en-US"/>
        </w:rPr>
        <w:t>is</w:t>
      </w:r>
      <w:r w:rsidRPr="00A868F0">
        <w:rPr>
          <w:rFonts w:eastAsia="Calibri" w:cs="Arial"/>
          <w:color w:val="000000"/>
          <w:kern w:val="0"/>
          <w:szCs w:val="22"/>
          <w:lang w:eastAsia="en-US"/>
        </w:rPr>
        <w:t xml:space="preserve"> restricted to ordinary residents. The</w:t>
      </w:r>
      <w:r w:rsidR="0000369F">
        <w:rPr>
          <w:rFonts w:eastAsia="Calibri" w:cs="Arial"/>
          <w:color w:val="000000"/>
          <w:kern w:val="0"/>
          <w:szCs w:val="22"/>
          <w:lang w:eastAsia="en-US"/>
        </w:rPr>
        <w:t xml:space="preserve"> meaning of the words ‘ordinar</w:t>
      </w:r>
      <w:r w:rsidRPr="00A868F0">
        <w:rPr>
          <w:rFonts w:eastAsia="Calibri" w:cs="Arial"/>
          <w:color w:val="000000"/>
          <w:kern w:val="0"/>
          <w:szCs w:val="22"/>
          <w:lang w:eastAsia="en-US"/>
        </w:rPr>
        <w:t>y resident’ was considered by the House of Lords in 1982 in the case of Shah v. Barnet London Borough Council. The words may be briefly summarised as referring to a person who is living lawfully in the United Kingdom and for settled purposes as part of the regular order of their life, with an identifiable purpose for their residence here which has a sufficient degree of continuity to be properly described as settled.</w:t>
      </w:r>
    </w:p>
    <w:p w14:paraId="0A21D211" w14:textId="77777777" w:rsidR="0000369F" w:rsidRPr="00A868F0" w:rsidRDefault="0000369F" w:rsidP="00E15FDF">
      <w:pPr>
        <w:spacing w:line="120" w:lineRule="auto"/>
        <w:rPr>
          <w:rFonts w:eastAsia="Calibri" w:cs="Arial"/>
          <w:color w:val="000000"/>
          <w:kern w:val="0"/>
          <w:szCs w:val="22"/>
          <w:lang w:eastAsia="en-US"/>
        </w:rPr>
      </w:pPr>
    </w:p>
    <w:p w14:paraId="4E848C6C" w14:textId="2D3A7F9F" w:rsidR="00497B7E" w:rsidRDefault="00497B7E" w:rsidP="00497B7E">
      <w:pPr>
        <w:autoSpaceDE w:val="0"/>
        <w:autoSpaceDN w:val="0"/>
        <w:adjustRightInd w:val="0"/>
        <w:spacing w:line="240" w:lineRule="auto"/>
        <w:rPr>
          <w:rFonts w:eastAsia="Calibri" w:cs="Arial"/>
          <w:color w:val="000000"/>
          <w:kern w:val="0"/>
          <w:szCs w:val="22"/>
          <w:lang w:eastAsia="en-US"/>
        </w:rPr>
      </w:pPr>
      <w:r w:rsidRPr="00A868F0">
        <w:rPr>
          <w:rFonts w:eastAsia="Calibri" w:cs="Arial"/>
          <w:color w:val="000000"/>
          <w:kern w:val="0"/>
          <w:szCs w:val="22"/>
          <w:lang w:eastAsia="en-US"/>
        </w:rPr>
        <w:t xml:space="preserve">If a person who is </w:t>
      </w:r>
      <w:r w:rsidR="0000369F">
        <w:rPr>
          <w:rFonts w:eastAsia="Calibri" w:cs="Arial"/>
          <w:color w:val="000000"/>
          <w:kern w:val="0"/>
          <w:szCs w:val="22"/>
          <w:lang w:eastAsia="en-US"/>
        </w:rPr>
        <w:t xml:space="preserve">an </w:t>
      </w:r>
      <w:r w:rsidRPr="00A868F0">
        <w:rPr>
          <w:rFonts w:eastAsia="Calibri" w:cs="Arial"/>
          <w:color w:val="000000"/>
          <w:kern w:val="0"/>
          <w:szCs w:val="22"/>
          <w:lang w:eastAsia="en-US"/>
        </w:rPr>
        <w:t xml:space="preserve">ordinary resident </w:t>
      </w:r>
      <w:r w:rsidR="0000369F">
        <w:rPr>
          <w:rFonts w:eastAsia="Calibri" w:cs="Arial"/>
          <w:color w:val="000000"/>
          <w:kern w:val="0"/>
          <w:szCs w:val="22"/>
          <w:lang w:eastAsia="en-US"/>
        </w:rPr>
        <w:t>transfers outside of England NEL</w:t>
      </w:r>
      <w:r w:rsidRPr="00A868F0">
        <w:rPr>
          <w:rFonts w:eastAsia="Calibri" w:cs="Arial"/>
          <w:color w:val="000000"/>
          <w:kern w:val="0"/>
          <w:szCs w:val="22"/>
          <w:lang w:eastAsia="en-US"/>
        </w:rPr>
        <w:t xml:space="preserve">CCG will cease to provide funding for CHC </w:t>
      </w:r>
      <w:r w:rsidR="0000369F">
        <w:rPr>
          <w:rFonts w:eastAsia="Calibri" w:cs="Arial"/>
          <w:color w:val="000000"/>
          <w:kern w:val="0"/>
          <w:szCs w:val="22"/>
          <w:lang w:eastAsia="en-US"/>
        </w:rPr>
        <w:t xml:space="preserve">care needs.  </w:t>
      </w:r>
      <w:r w:rsidRPr="00A868F0">
        <w:rPr>
          <w:rFonts w:eastAsia="Calibri" w:cs="Arial"/>
          <w:color w:val="000000"/>
          <w:kern w:val="0"/>
          <w:szCs w:val="22"/>
          <w:lang w:eastAsia="en-US"/>
        </w:rPr>
        <w:t xml:space="preserve">However the NELCCG </w:t>
      </w:r>
      <w:r w:rsidR="002C5F16">
        <w:rPr>
          <w:rFonts w:eastAsia="Calibri" w:cs="Arial"/>
          <w:color w:val="000000"/>
          <w:kern w:val="0"/>
          <w:szCs w:val="22"/>
          <w:lang w:eastAsia="en-US"/>
        </w:rPr>
        <w:t>Individual Commissioning Advice and Approval Panel (ICAAP)</w:t>
      </w:r>
      <w:r w:rsidRPr="00A868F0">
        <w:rPr>
          <w:rFonts w:eastAsia="Calibri" w:cs="Arial"/>
          <w:color w:val="000000"/>
          <w:kern w:val="0"/>
          <w:szCs w:val="22"/>
          <w:lang w:eastAsia="en-US"/>
        </w:rPr>
        <w:t xml:space="preserve"> will consider on a </w:t>
      </w:r>
      <w:proofErr w:type="gramStart"/>
      <w:r w:rsidRPr="00A868F0">
        <w:rPr>
          <w:rFonts w:eastAsia="Calibri" w:cs="Arial"/>
          <w:color w:val="000000"/>
          <w:kern w:val="0"/>
          <w:szCs w:val="22"/>
          <w:lang w:eastAsia="en-US"/>
        </w:rPr>
        <w:t>case by case</w:t>
      </w:r>
      <w:proofErr w:type="gramEnd"/>
      <w:r w:rsidRPr="00A868F0">
        <w:rPr>
          <w:rFonts w:eastAsia="Calibri" w:cs="Arial"/>
          <w:color w:val="000000"/>
          <w:kern w:val="0"/>
          <w:szCs w:val="22"/>
          <w:lang w:eastAsia="en-US"/>
        </w:rPr>
        <w:t xml:space="preserve"> basis cross border reciprocal placements within the United Kingdom. </w:t>
      </w:r>
    </w:p>
    <w:p w14:paraId="4E0BF88E" w14:textId="77777777" w:rsidR="0000369F" w:rsidRPr="00A868F0" w:rsidRDefault="0000369F" w:rsidP="00497B7E">
      <w:pPr>
        <w:autoSpaceDE w:val="0"/>
        <w:autoSpaceDN w:val="0"/>
        <w:adjustRightInd w:val="0"/>
        <w:spacing w:line="240" w:lineRule="auto"/>
        <w:rPr>
          <w:rFonts w:eastAsia="Calibri" w:cs="Arial"/>
          <w:color w:val="000000"/>
          <w:kern w:val="0"/>
          <w:szCs w:val="22"/>
          <w:lang w:eastAsia="en-US"/>
        </w:rPr>
      </w:pPr>
    </w:p>
    <w:p w14:paraId="3C4B39F3" w14:textId="77777777" w:rsidR="00497B7E" w:rsidRPr="00A868F0" w:rsidRDefault="00497B7E" w:rsidP="00497B7E">
      <w:pPr>
        <w:autoSpaceDE w:val="0"/>
        <w:autoSpaceDN w:val="0"/>
        <w:adjustRightInd w:val="0"/>
        <w:spacing w:line="240" w:lineRule="auto"/>
        <w:rPr>
          <w:rFonts w:eastAsia="Calibri" w:cs="Arial"/>
          <w:color w:val="000000"/>
          <w:kern w:val="0"/>
          <w:szCs w:val="22"/>
          <w:lang w:eastAsia="en-US"/>
        </w:rPr>
      </w:pPr>
      <w:r w:rsidRPr="00A868F0">
        <w:rPr>
          <w:rFonts w:eastAsia="Calibri" w:cs="Arial"/>
          <w:color w:val="000000"/>
          <w:kern w:val="0"/>
          <w:szCs w:val="22"/>
          <w:lang w:eastAsia="en-US"/>
        </w:rPr>
        <w:t>Therefore under the NELCCG commissioning principles commissioned care may remain available to fund those who meet the eligibility criteria solely within the borders of the United Kingdom.</w:t>
      </w:r>
    </w:p>
    <w:p w14:paraId="2CFAFB5E" w14:textId="77777777" w:rsidR="00497B7E" w:rsidRPr="00A868F0" w:rsidRDefault="00497B7E" w:rsidP="00497B7E">
      <w:pPr>
        <w:autoSpaceDE w:val="0"/>
        <w:autoSpaceDN w:val="0"/>
        <w:adjustRightInd w:val="0"/>
        <w:spacing w:line="240" w:lineRule="auto"/>
        <w:rPr>
          <w:rFonts w:eastAsia="Calibri" w:cs="Arial"/>
          <w:color w:val="000000"/>
          <w:kern w:val="0"/>
          <w:szCs w:val="22"/>
          <w:lang w:eastAsia="en-US"/>
        </w:rPr>
      </w:pPr>
    </w:p>
    <w:p w14:paraId="338A01B1" w14:textId="77777777" w:rsidR="00497B7E" w:rsidRPr="00A868F0" w:rsidRDefault="00497B7E" w:rsidP="00497B7E">
      <w:pPr>
        <w:autoSpaceDE w:val="0"/>
        <w:autoSpaceDN w:val="0"/>
        <w:adjustRightInd w:val="0"/>
        <w:spacing w:line="240" w:lineRule="auto"/>
        <w:rPr>
          <w:rFonts w:eastAsia="Calibri" w:cs="Arial"/>
          <w:color w:val="000000"/>
          <w:kern w:val="0"/>
          <w:szCs w:val="22"/>
          <w:lang w:eastAsia="en-US"/>
        </w:rPr>
      </w:pPr>
      <w:r w:rsidRPr="00A868F0">
        <w:rPr>
          <w:rFonts w:eastAsia="Calibri" w:cs="Arial"/>
          <w:color w:val="000000"/>
          <w:kern w:val="0"/>
          <w:szCs w:val="22"/>
          <w:lang w:eastAsia="en-US"/>
        </w:rPr>
        <w:t xml:space="preserve">For those countries with current reciprocal arrangements as identified in the </w:t>
      </w:r>
      <w:proofErr w:type="spellStart"/>
      <w:r w:rsidRPr="00A868F0">
        <w:rPr>
          <w:rFonts w:eastAsia="Calibri" w:cs="Arial"/>
          <w:color w:val="000000"/>
          <w:kern w:val="0"/>
          <w:szCs w:val="22"/>
          <w:lang w:eastAsia="en-US"/>
        </w:rPr>
        <w:t>DoH</w:t>
      </w:r>
      <w:proofErr w:type="spellEnd"/>
      <w:r w:rsidRPr="00A868F0">
        <w:rPr>
          <w:rFonts w:eastAsia="Calibri" w:cs="Arial"/>
          <w:color w:val="000000"/>
          <w:kern w:val="0"/>
          <w:szCs w:val="22"/>
          <w:lang w:eastAsia="en-US"/>
        </w:rPr>
        <w:t xml:space="preserve"> legislation for NHS Medical treatment only the CCG in consultation with NHS England will consider these on a case by case basis.</w:t>
      </w:r>
    </w:p>
    <w:p w14:paraId="506FB426" w14:textId="77777777" w:rsidR="00497B7E" w:rsidRPr="00A868F0" w:rsidRDefault="00497B7E" w:rsidP="00497B7E">
      <w:pPr>
        <w:spacing w:line="240" w:lineRule="auto"/>
        <w:rPr>
          <w:rFonts w:cs="Arial"/>
          <w:kern w:val="0"/>
          <w:szCs w:val="22"/>
          <w:lang w:eastAsia="en-US"/>
        </w:rPr>
      </w:pPr>
    </w:p>
    <w:p w14:paraId="685EEF44" w14:textId="77777777" w:rsidR="00497B7E" w:rsidRPr="00A868F0" w:rsidRDefault="00497B7E" w:rsidP="00497B7E">
      <w:pPr>
        <w:spacing w:line="240" w:lineRule="auto"/>
        <w:rPr>
          <w:rFonts w:cs="Arial"/>
          <w:kern w:val="0"/>
          <w:szCs w:val="22"/>
          <w:lang w:eastAsia="en-US"/>
        </w:rPr>
      </w:pPr>
      <w:r w:rsidRPr="00A868F0">
        <w:rPr>
          <w:rFonts w:cs="Arial"/>
          <w:kern w:val="0"/>
          <w:szCs w:val="22"/>
          <w:lang w:eastAsia="en-US"/>
        </w:rPr>
        <w:t>The Department of Health published the revised Nat</w:t>
      </w:r>
      <w:r w:rsidR="009944E6">
        <w:rPr>
          <w:rFonts w:cs="Arial"/>
          <w:kern w:val="0"/>
          <w:szCs w:val="22"/>
          <w:lang w:eastAsia="en-US"/>
        </w:rPr>
        <w:t>ional Framework in November 2018</w:t>
      </w:r>
      <w:r w:rsidRPr="00A868F0">
        <w:rPr>
          <w:rFonts w:cs="Arial"/>
          <w:kern w:val="0"/>
          <w:szCs w:val="22"/>
          <w:lang w:eastAsia="en-US"/>
        </w:rPr>
        <w:t xml:space="preserve">, which does not change the basis of eligibility decisions for NHS Continuing Healthcare and NHS funded-nursing care, or the overall principles, but seeks to provide greater clarity in the descriptions within the needs domains of the Checklist and the Decision Support Tool, giving greater clarity about the levels and types of need to be considered, as well as changes to the wider information that needs to be recorded and the Fast Track Pathway Tool. </w:t>
      </w:r>
    </w:p>
    <w:p w14:paraId="1D0DFF43" w14:textId="77777777" w:rsidR="00497B7E" w:rsidRPr="00A868F0" w:rsidRDefault="00497B7E" w:rsidP="00497B7E">
      <w:pPr>
        <w:spacing w:line="240" w:lineRule="auto"/>
        <w:rPr>
          <w:rFonts w:cs="Arial"/>
          <w:kern w:val="0"/>
          <w:szCs w:val="22"/>
          <w:lang w:eastAsia="en-US"/>
        </w:rPr>
      </w:pPr>
    </w:p>
    <w:p w14:paraId="3D0674F9" w14:textId="77777777" w:rsidR="00497B7E" w:rsidRDefault="00497B7E" w:rsidP="00497B7E">
      <w:pPr>
        <w:spacing w:line="240" w:lineRule="auto"/>
        <w:rPr>
          <w:rFonts w:cs="Arial"/>
          <w:kern w:val="0"/>
          <w:szCs w:val="22"/>
          <w:lang w:eastAsia="en-US"/>
        </w:rPr>
      </w:pPr>
      <w:r w:rsidRPr="00A868F0">
        <w:rPr>
          <w:rFonts w:cs="Arial"/>
          <w:kern w:val="0"/>
          <w:szCs w:val="22"/>
          <w:lang w:eastAsia="en-US"/>
        </w:rPr>
        <w:t>This policy details the way in which the National Framework will be implemented by NELCCG and should be read in conjunction with the following documents:</w:t>
      </w:r>
    </w:p>
    <w:p w14:paraId="3BC240CF" w14:textId="77777777" w:rsidR="0000369F" w:rsidRPr="00A868F0" w:rsidRDefault="0000369F" w:rsidP="00497B7E">
      <w:pPr>
        <w:spacing w:line="240" w:lineRule="auto"/>
        <w:rPr>
          <w:rFonts w:cs="Arial"/>
          <w:kern w:val="0"/>
          <w:szCs w:val="22"/>
          <w:lang w:eastAsia="en-US"/>
        </w:rPr>
      </w:pPr>
    </w:p>
    <w:p w14:paraId="263D2290" w14:textId="77777777" w:rsidR="009944E6" w:rsidRDefault="00497B7E" w:rsidP="0000369F">
      <w:pPr>
        <w:numPr>
          <w:ilvl w:val="0"/>
          <w:numId w:val="36"/>
        </w:numPr>
        <w:spacing w:line="240" w:lineRule="auto"/>
        <w:ind w:left="511" w:hanging="227"/>
        <w:jc w:val="left"/>
        <w:rPr>
          <w:rFonts w:cs="Arial"/>
          <w:kern w:val="0"/>
          <w:szCs w:val="22"/>
          <w:lang w:eastAsia="en-US"/>
        </w:rPr>
      </w:pPr>
      <w:r w:rsidRPr="00A868F0">
        <w:rPr>
          <w:rFonts w:cs="Arial"/>
          <w:kern w:val="0"/>
          <w:szCs w:val="22"/>
          <w:lang w:eastAsia="en-US"/>
        </w:rPr>
        <w:t>The National Framework for NHS Continuing Healthcare &amp; NHS Funded</w:t>
      </w:r>
      <w:r w:rsidR="0000369F">
        <w:rPr>
          <w:rFonts w:cs="Arial"/>
          <w:kern w:val="0"/>
          <w:szCs w:val="22"/>
          <w:lang w:eastAsia="en-US"/>
        </w:rPr>
        <w:t xml:space="preserve">-Nursing Care </w:t>
      </w:r>
      <w:r w:rsidRPr="00A868F0">
        <w:rPr>
          <w:rFonts w:cs="Arial"/>
          <w:kern w:val="0"/>
          <w:szCs w:val="22"/>
          <w:lang w:eastAsia="en-US"/>
        </w:rPr>
        <w:t>(Depart</w:t>
      </w:r>
      <w:r>
        <w:rPr>
          <w:rFonts w:cs="Arial"/>
          <w:kern w:val="0"/>
          <w:szCs w:val="22"/>
          <w:lang w:eastAsia="en-US"/>
        </w:rPr>
        <w:t>ment of Health, 2012, revised)</w:t>
      </w:r>
    </w:p>
    <w:p w14:paraId="1263AE3B" w14:textId="77777777" w:rsidR="00497B7E" w:rsidRDefault="009944E6" w:rsidP="0000369F">
      <w:pPr>
        <w:numPr>
          <w:ilvl w:val="0"/>
          <w:numId w:val="36"/>
        </w:numPr>
        <w:spacing w:line="240" w:lineRule="auto"/>
        <w:ind w:left="511" w:hanging="227"/>
        <w:jc w:val="left"/>
        <w:rPr>
          <w:rFonts w:cs="Arial"/>
          <w:kern w:val="0"/>
          <w:szCs w:val="22"/>
          <w:lang w:eastAsia="en-US"/>
        </w:rPr>
      </w:pPr>
      <w:r>
        <w:rPr>
          <w:rFonts w:cs="Arial"/>
          <w:kern w:val="0"/>
          <w:szCs w:val="22"/>
          <w:lang w:eastAsia="en-US"/>
        </w:rPr>
        <w:t>The National Framework of NHS Continuing Healthcare &amp; NHS Funded-Nursing Care (Department of Health, 2018 revised)</w:t>
      </w:r>
      <w:r w:rsidR="00497B7E">
        <w:rPr>
          <w:rFonts w:cs="Arial"/>
          <w:kern w:val="0"/>
          <w:szCs w:val="22"/>
          <w:lang w:eastAsia="en-US"/>
        </w:rPr>
        <w:t xml:space="preserve"> </w:t>
      </w:r>
    </w:p>
    <w:p w14:paraId="151FBE97" w14:textId="77777777" w:rsidR="00497B7E" w:rsidRPr="00A868F0" w:rsidRDefault="00497B7E" w:rsidP="002C17BA">
      <w:pPr>
        <w:numPr>
          <w:ilvl w:val="0"/>
          <w:numId w:val="36"/>
        </w:numPr>
        <w:spacing w:line="240" w:lineRule="auto"/>
        <w:ind w:left="511" w:hanging="227"/>
        <w:jc w:val="left"/>
        <w:rPr>
          <w:rFonts w:cs="Arial"/>
          <w:kern w:val="0"/>
          <w:szCs w:val="22"/>
          <w:lang w:eastAsia="en-US"/>
        </w:rPr>
      </w:pPr>
      <w:r w:rsidRPr="00A868F0">
        <w:rPr>
          <w:rFonts w:cs="Arial"/>
          <w:kern w:val="0"/>
          <w:szCs w:val="22"/>
          <w:lang w:eastAsia="en-US"/>
        </w:rPr>
        <w:t>NHS Guide for Health and Social Care Practitioners (2014)</w:t>
      </w:r>
    </w:p>
    <w:p w14:paraId="7DDF6052" w14:textId="3AF68792" w:rsidR="00497B7E" w:rsidRPr="00A868F0" w:rsidRDefault="00497B7E" w:rsidP="002C17BA">
      <w:pPr>
        <w:numPr>
          <w:ilvl w:val="0"/>
          <w:numId w:val="36"/>
        </w:numPr>
        <w:spacing w:line="240" w:lineRule="auto"/>
        <w:ind w:left="511" w:hanging="227"/>
        <w:jc w:val="left"/>
        <w:rPr>
          <w:rFonts w:cs="Arial"/>
          <w:kern w:val="0"/>
          <w:szCs w:val="22"/>
          <w:lang w:eastAsia="en-US"/>
        </w:rPr>
      </w:pPr>
      <w:r w:rsidRPr="00A868F0">
        <w:rPr>
          <w:rFonts w:cs="Arial"/>
          <w:kern w:val="0"/>
          <w:szCs w:val="22"/>
          <w:lang w:eastAsia="en-US"/>
        </w:rPr>
        <w:t>Who pays? Establishing the Responsibl</w:t>
      </w:r>
      <w:r w:rsidR="0000369F">
        <w:rPr>
          <w:rFonts w:cs="Arial"/>
          <w:kern w:val="0"/>
          <w:szCs w:val="22"/>
          <w:lang w:eastAsia="en-US"/>
        </w:rPr>
        <w:t xml:space="preserve">e Commissioner (Department </w:t>
      </w:r>
      <w:proofErr w:type="gramStart"/>
      <w:r w:rsidR="0000369F">
        <w:rPr>
          <w:rFonts w:cs="Arial"/>
          <w:kern w:val="0"/>
          <w:szCs w:val="22"/>
          <w:lang w:eastAsia="en-US"/>
        </w:rPr>
        <w:t xml:space="preserve">of  </w:t>
      </w:r>
      <w:r w:rsidRPr="00A868F0">
        <w:rPr>
          <w:rFonts w:cs="Arial"/>
          <w:kern w:val="0"/>
          <w:szCs w:val="22"/>
          <w:lang w:eastAsia="en-US"/>
        </w:rPr>
        <w:t>Health</w:t>
      </w:r>
      <w:proofErr w:type="gramEnd"/>
      <w:r w:rsidRPr="00A868F0">
        <w:rPr>
          <w:rFonts w:cs="Arial"/>
          <w:kern w:val="0"/>
          <w:szCs w:val="22"/>
          <w:lang w:eastAsia="en-US"/>
        </w:rPr>
        <w:t xml:space="preserve">, </w:t>
      </w:r>
      <w:r w:rsidR="003A51C8" w:rsidRPr="003A51C8">
        <w:rPr>
          <w:rFonts w:cs="Arial"/>
          <w:kern w:val="0"/>
          <w:szCs w:val="22"/>
          <w:lang w:eastAsia="en-US"/>
        </w:rPr>
        <w:t>August 2020</w:t>
      </w:r>
      <w:r w:rsidRPr="00A868F0">
        <w:rPr>
          <w:rFonts w:cs="Arial"/>
          <w:kern w:val="0"/>
          <w:szCs w:val="22"/>
          <w:lang w:eastAsia="en-US"/>
        </w:rPr>
        <w:t>)</w:t>
      </w:r>
    </w:p>
    <w:p w14:paraId="7D7F3634" w14:textId="77777777" w:rsidR="00497B7E" w:rsidRPr="00A868F0" w:rsidRDefault="00497B7E" w:rsidP="002C17BA">
      <w:pPr>
        <w:numPr>
          <w:ilvl w:val="0"/>
          <w:numId w:val="36"/>
        </w:numPr>
        <w:spacing w:line="240" w:lineRule="auto"/>
        <w:ind w:left="511" w:hanging="227"/>
        <w:jc w:val="left"/>
        <w:rPr>
          <w:rFonts w:cs="Arial"/>
          <w:kern w:val="0"/>
          <w:szCs w:val="22"/>
          <w:lang w:eastAsia="en-US"/>
        </w:rPr>
      </w:pPr>
      <w:r w:rsidRPr="00A868F0">
        <w:rPr>
          <w:rFonts w:cs="Arial"/>
          <w:kern w:val="0"/>
          <w:szCs w:val="22"/>
          <w:lang w:eastAsia="en-US"/>
        </w:rPr>
        <w:t>North East Lincolnshir</w:t>
      </w:r>
      <w:r>
        <w:rPr>
          <w:rFonts w:cs="Arial"/>
          <w:kern w:val="0"/>
          <w:szCs w:val="22"/>
          <w:lang w:eastAsia="en-US"/>
        </w:rPr>
        <w:t>e CCG Joint Operational Guidance</w:t>
      </w:r>
    </w:p>
    <w:p w14:paraId="144F5205" w14:textId="77777777" w:rsidR="00497B7E" w:rsidRPr="002C17BA" w:rsidRDefault="00497B7E" w:rsidP="002C17BA">
      <w:pPr>
        <w:numPr>
          <w:ilvl w:val="0"/>
          <w:numId w:val="36"/>
        </w:numPr>
        <w:spacing w:line="240" w:lineRule="auto"/>
        <w:ind w:left="511" w:hanging="227"/>
        <w:jc w:val="left"/>
        <w:rPr>
          <w:rFonts w:cs="Arial"/>
          <w:kern w:val="0"/>
          <w:szCs w:val="22"/>
          <w:lang w:eastAsia="en-US"/>
        </w:rPr>
      </w:pPr>
      <w:r w:rsidRPr="002C17BA">
        <w:rPr>
          <w:rFonts w:cs="Arial"/>
          <w:kern w:val="0"/>
          <w:szCs w:val="22"/>
          <w:lang w:eastAsia="en-US"/>
        </w:rPr>
        <w:t xml:space="preserve">North East Lincolnshire CCG Choice Policy: NHS Funded Care </w:t>
      </w:r>
    </w:p>
    <w:p w14:paraId="1CF84244" w14:textId="30E4C9B2" w:rsidR="00832171" w:rsidRPr="00E15FDF" w:rsidRDefault="00497B7E" w:rsidP="005C4F79">
      <w:pPr>
        <w:numPr>
          <w:ilvl w:val="0"/>
          <w:numId w:val="36"/>
        </w:numPr>
        <w:spacing w:line="240" w:lineRule="auto"/>
        <w:ind w:left="511" w:hanging="227"/>
        <w:jc w:val="left"/>
        <w:rPr>
          <w:rFonts w:cs="Arial"/>
          <w:b/>
          <w:bCs/>
          <w:kern w:val="32"/>
          <w:szCs w:val="22"/>
          <w:lang w:eastAsia="en-US"/>
        </w:rPr>
      </w:pPr>
      <w:r w:rsidRPr="00A868F0">
        <w:rPr>
          <w:rFonts w:cs="Arial"/>
          <w:bCs/>
          <w:kern w:val="32"/>
          <w:szCs w:val="22"/>
          <w:lang w:eastAsia="en-US"/>
        </w:rPr>
        <w:t xml:space="preserve">North </w:t>
      </w:r>
      <w:r w:rsidRPr="002C17BA">
        <w:rPr>
          <w:rFonts w:cs="Arial"/>
          <w:kern w:val="0"/>
          <w:szCs w:val="22"/>
          <w:lang w:eastAsia="en-US"/>
        </w:rPr>
        <w:t>East</w:t>
      </w:r>
      <w:r w:rsidRPr="00A868F0">
        <w:rPr>
          <w:rFonts w:cs="Arial"/>
          <w:bCs/>
          <w:kern w:val="32"/>
          <w:szCs w:val="22"/>
          <w:lang w:eastAsia="en-US"/>
        </w:rPr>
        <w:t xml:space="preserve"> Lincolnshire CCG Joint </w:t>
      </w:r>
      <w:proofErr w:type="gramStart"/>
      <w:r w:rsidRPr="00A868F0">
        <w:rPr>
          <w:rFonts w:cs="Arial"/>
          <w:bCs/>
          <w:kern w:val="32"/>
          <w:szCs w:val="22"/>
          <w:lang w:eastAsia="en-US"/>
        </w:rPr>
        <w:t>funding</w:t>
      </w:r>
      <w:proofErr w:type="gramEnd"/>
      <w:r w:rsidRPr="00A868F0">
        <w:rPr>
          <w:rFonts w:cs="Arial"/>
          <w:bCs/>
          <w:kern w:val="32"/>
          <w:szCs w:val="22"/>
          <w:lang w:eastAsia="en-US"/>
        </w:rPr>
        <w:t xml:space="preserve"> Policy</w:t>
      </w:r>
    </w:p>
    <w:p w14:paraId="7B12F481" w14:textId="77777777" w:rsidR="00642D53" w:rsidRPr="004F0BD3" w:rsidRDefault="00642D53" w:rsidP="005C4F79">
      <w:pPr>
        <w:pStyle w:val="Heading1"/>
      </w:pPr>
      <w:bookmarkStart w:id="1" w:name="_Toc26869230"/>
      <w:r w:rsidRPr="004F0BD3">
        <w:lastRenderedPageBreak/>
        <w:t>2.</w:t>
      </w:r>
      <w:r w:rsidRPr="004F0BD3">
        <w:tab/>
        <w:t>PURPOSE AND SCOPE</w:t>
      </w:r>
      <w:bookmarkEnd w:id="1"/>
    </w:p>
    <w:p w14:paraId="213AF5D9" w14:textId="77777777" w:rsidR="004F0BD3" w:rsidRDefault="004F0BD3" w:rsidP="00642D53">
      <w:pPr>
        <w:spacing w:line="276" w:lineRule="auto"/>
        <w:rPr>
          <w:rFonts w:cs="Arial"/>
          <w:kern w:val="0"/>
          <w:szCs w:val="22"/>
          <w:lang w:eastAsia="en-US"/>
        </w:rPr>
      </w:pPr>
    </w:p>
    <w:p w14:paraId="6DF63868" w14:textId="77777777" w:rsidR="00642D53" w:rsidRPr="00A868F0" w:rsidRDefault="00642D53" w:rsidP="002E3D50">
      <w:pPr>
        <w:spacing w:line="240" w:lineRule="auto"/>
        <w:rPr>
          <w:rFonts w:cs="Arial"/>
          <w:kern w:val="0"/>
          <w:szCs w:val="22"/>
          <w:lang w:eastAsia="en-US"/>
        </w:rPr>
      </w:pPr>
      <w:r>
        <w:rPr>
          <w:rFonts w:cs="Arial"/>
          <w:kern w:val="0"/>
          <w:szCs w:val="22"/>
          <w:lang w:eastAsia="en-US"/>
        </w:rPr>
        <w:t xml:space="preserve">This policy </w:t>
      </w:r>
      <w:r w:rsidRPr="00A868F0">
        <w:rPr>
          <w:rFonts w:cs="Arial"/>
          <w:kern w:val="0"/>
          <w:szCs w:val="22"/>
          <w:lang w:eastAsia="en-US"/>
        </w:rPr>
        <w:t>sets out the responsibilities of N</w:t>
      </w:r>
      <w:r>
        <w:rPr>
          <w:rFonts w:cs="Arial"/>
          <w:kern w:val="0"/>
          <w:szCs w:val="22"/>
          <w:lang w:eastAsia="en-US"/>
        </w:rPr>
        <w:t xml:space="preserve">orth </w:t>
      </w:r>
      <w:r w:rsidRPr="00A868F0">
        <w:rPr>
          <w:rFonts w:cs="Arial"/>
          <w:kern w:val="0"/>
          <w:szCs w:val="22"/>
          <w:lang w:eastAsia="en-US"/>
        </w:rPr>
        <w:t>E</w:t>
      </w:r>
      <w:r>
        <w:rPr>
          <w:rFonts w:cs="Arial"/>
          <w:kern w:val="0"/>
          <w:szCs w:val="22"/>
          <w:lang w:eastAsia="en-US"/>
        </w:rPr>
        <w:t xml:space="preserve">ast </w:t>
      </w:r>
      <w:r w:rsidRPr="00A868F0">
        <w:rPr>
          <w:rFonts w:cs="Arial"/>
          <w:kern w:val="0"/>
          <w:szCs w:val="22"/>
          <w:lang w:eastAsia="en-US"/>
        </w:rPr>
        <w:t>L</w:t>
      </w:r>
      <w:r>
        <w:rPr>
          <w:rFonts w:cs="Arial"/>
          <w:kern w:val="0"/>
          <w:szCs w:val="22"/>
          <w:lang w:eastAsia="en-US"/>
        </w:rPr>
        <w:t>incolnshire</w:t>
      </w:r>
      <w:r w:rsidRPr="00A868F0">
        <w:rPr>
          <w:rFonts w:cs="Arial"/>
          <w:kern w:val="0"/>
          <w:szCs w:val="22"/>
          <w:lang w:eastAsia="en-US"/>
        </w:rPr>
        <w:t xml:space="preserve"> Clinical Commissioning Group in those situations where eligibility for NHS Continuing Healthcare has not been agreed, and for the management of situations that may arise as a result of NHS Continuing Healthcare eligibility decisions. The policy describes the way in which NEL Clinical Commissioning Group will commission care in a manner that reflects patient choice and preferences, whilst balancing the requirement that NEL Clinical Commissioning Group keep within the set financial limit allocated to the organisation. </w:t>
      </w:r>
    </w:p>
    <w:p w14:paraId="19DEDEED" w14:textId="77777777" w:rsidR="00642D53" w:rsidRPr="00A868F0" w:rsidRDefault="00642D53" w:rsidP="002E3D50">
      <w:pPr>
        <w:spacing w:line="240" w:lineRule="auto"/>
        <w:rPr>
          <w:rFonts w:cs="Arial"/>
          <w:kern w:val="0"/>
          <w:szCs w:val="22"/>
          <w:lang w:eastAsia="en-US"/>
        </w:rPr>
      </w:pPr>
    </w:p>
    <w:p w14:paraId="161AE85E" w14:textId="77777777" w:rsidR="00642D53" w:rsidRPr="00A868F0" w:rsidRDefault="00642D53" w:rsidP="002E3D50">
      <w:pPr>
        <w:spacing w:line="240" w:lineRule="auto"/>
        <w:rPr>
          <w:rFonts w:cs="Arial"/>
          <w:kern w:val="0"/>
          <w:szCs w:val="22"/>
          <w:lang w:eastAsia="en-US"/>
        </w:rPr>
      </w:pPr>
      <w:r w:rsidRPr="00A868F0">
        <w:rPr>
          <w:rFonts w:cs="Arial"/>
          <w:kern w:val="0"/>
          <w:szCs w:val="22"/>
          <w:lang w:eastAsia="en-US"/>
        </w:rPr>
        <w:t>This policy applies to all NHS Continuing Healthcare applications for adults 18 years or older who are registered with a NEL General Practice. This includes all care groups including:</w:t>
      </w:r>
    </w:p>
    <w:p w14:paraId="21510F74" w14:textId="77777777" w:rsidR="00642D53" w:rsidRDefault="00642D53" w:rsidP="002E3D50">
      <w:pPr>
        <w:spacing w:line="240" w:lineRule="auto"/>
        <w:rPr>
          <w:rFonts w:cs="Arial"/>
          <w:kern w:val="0"/>
          <w:szCs w:val="22"/>
          <w:lang w:eastAsia="en-US"/>
        </w:rPr>
      </w:pPr>
    </w:p>
    <w:p w14:paraId="3DCA9C8C" w14:textId="77777777" w:rsidR="00642D53" w:rsidRDefault="00642D53" w:rsidP="002E3D50">
      <w:pPr>
        <w:numPr>
          <w:ilvl w:val="0"/>
          <w:numId w:val="39"/>
        </w:numPr>
        <w:spacing w:line="240" w:lineRule="auto"/>
        <w:rPr>
          <w:rFonts w:cs="Arial"/>
          <w:kern w:val="0"/>
          <w:szCs w:val="22"/>
          <w:lang w:eastAsia="en-US"/>
        </w:rPr>
      </w:pPr>
      <w:r>
        <w:rPr>
          <w:rFonts w:cs="Arial"/>
          <w:kern w:val="0"/>
          <w:szCs w:val="22"/>
          <w:lang w:eastAsia="en-US"/>
        </w:rPr>
        <w:t>Physically Disabled</w:t>
      </w:r>
    </w:p>
    <w:p w14:paraId="20E484AC" w14:textId="77777777" w:rsidR="00642D53" w:rsidRPr="00A868F0" w:rsidRDefault="00642D53" w:rsidP="002E3D50">
      <w:pPr>
        <w:numPr>
          <w:ilvl w:val="0"/>
          <w:numId w:val="39"/>
        </w:numPr>
        <w:spacing w:line="240" w:lineRule="auto"/>
        <w:rPr>
          <w:rFonts w:cs="Arial"/>
          <w:kern w:val="0"/>
          <w:szCs w:val="22"/>
          <w:lang w:eastAsia="en-US"/>
        </w:rPr>
      </w:pPr>
      <w:r w:rsidRPr="00A868F0">
        <w:rPr>
          <w:rFonts w:cs="Arial"/>
          <w:kern w:val="0"/>
          <w:szCs w:val="22"/>
          <w:lang w:eastAsia="en-US"/>
        </w:rPr>
        <w:t xml:space="preserve">Older People </w:t>
      </w:r>
    </w:p>
    <w:p w14:paraId="79C27DD7" w14:textId="77777777" w:rsidR="00642D53" w:rsidRPr="00A868F0" w:rsidRDefault="00642D53" w:rsidP="002E3D50">
      <w:pPr>
        <w:numPr>
          <w:ilvl w:val="0"/>
          <w:numId w:val="39"/>
        </w:numPr>
        <w:spacing w:line="240" w:lineRule="auto"/>
        <w:rPr>
          <w:rFonts w:cs="Arial"/>
          <w:kern w:val="0"/>
          <w:szCs w:val="22"/>
          <w:lang w:eastAsia="en-US"/>
        </w:rPr>
      </w:pPr>
      <w:r w:rsidRPr="00A868F0">
        <w:rPr>
          <w:rFonts w:cs="Arial"/>
          <w:kern w:val="0"/>
          <w:szCs w:val="22"/>
          <w:lang w:eastAsia="en-US"/>
        </w:rPr>
        <w:t xml:space="preserve">Learning Disabilities </w:t>
      </w:r>
    </w:p>
    <w:p w14:paraId="3562AC9F" w14:textId="77777777" w:rsidR="00642D53" w:rsidRPr="00A868F0" w:rsidRDefault="00642D53" w:rsidP="002E3D50">
      <w:pPr>
        <w:numPr>
          <w:ilvl w:val="0"/>
          <w:numId w:val="39"/>
        </w:numPr>
        <w:spacing w:line="240" w:lineRule="auto"/>
        <w:rPr>
          <w:rFonts w:cs="Arial"/>
          <w:kern w:val="0"/>
          <w:szCs w:val="22"/>
          <w:lang w:eastAsia="en-US"/>
        </w:rPr>
      </w:pPr>
      <w:r w:rsidRPr="00A868F0">
        <w:rPr>
          <w:rFonts w:cs="Arial"/>
          <w:kern w:val="0"/>
          <w:szCs w:val="22"/>
          <w:lang w:eastAsia="en-US"/>
        </w:rPr>
        <w:t xml:space="preserve">Young people in transition </w:t>
      </w:r>
    </w:p>
    <w:p w14:paraId="258531FF" w14:textId="77777777" w:rsidR="00642D53" w:rsidRPr="00A868F0" w:rsidRDefault="00642D53" w:rsidP="002E3D50">
      <w:pPr>
        <w:numPr>
          <w:ilvl w:val="0"/>
          <w:numId w:val="39"/>
        </w:numPr>
        <w:spacing w:line="240" w:lineRule="auto"/>
        <w:rPr>
          <w:rFonts w:cs="Arial"/>
          <w:kern w:val="0"/>
          <w:szCs w:val="22"/>
          <w:lang w:eastAsia="en-US"/>
        </w:rPr>
      </w:pPr>
      <w:r w:rsidRPr="00A868F0">
        <w:rPr>
          <w:rFonts w:cs="Arial"/>
          <w:kern w:val="0"/>
          <w:szCs w:val="22"/>
          <w:lang w:eastAsia="en-US"/>
        </w:rPr>
        <w:t xml:space="preserve">People with an organic mental health condition </w:t>
      </w:r>
    </w:p>
    <w:p w14:paraId="01DBBC23" w14:textId="77777777" w:rsidR="00642D53" w:rsidRPr="00A868F0" w:rsidRDefault="00642D53" w:rsidP="002E3D50">
      <w:pPr>
        <w:numPr>
          <w:ilvl w:val="0"/>
          <w:numId w:val="39"/>
        </w:numPr>
        <w:spacing w:line="240" w:lineRule="auto"/>
        <w:rPr>
          <w:rFonts w:cs="Arial"/>
          <w:kern w:val="0"/>
          <w:szCs w:val="22"/>
          <w:lang w:eastAsia="en-US"/>
        </w:rPr>
      </w:pPr>
      <w:r w:rsidRPr="00A868F0">
        <w:rPr>
          <w:rFonts w:cs="Arial"/>
          <w:kern w:val="0"/>
          <w:szCs w:val="22"/>
          <w:lang w:eastAsia="en-US"/>
        </w:rPr>
        <w:t xml:space="preserve">Functional Mental Health </w:t>
      </w:r>
    </w:p>
    <w:p w14:paraId="65CD3C8A" w14:textId="77777777" w:rsidR="00642D53" w:rsidRDefault="00642D53" w:rsidP="002E3D50">
      <w:pPr>
        <w:numPr>
          <w:ilvl w:val="0"/>
          <w:numId w:val="39"/>
        </w:numPr>
        <w:spacing w:line="240" w:lineRule="auto"/>
        <w:rPr>
          <w:rFonts w:cs="Arial"/>
          <w:kern w:val="0"/>
          <w:szCs w:val="22"/>
          <w:lang w:eastAsia="en-US"/>
        </w:rPr>
      </w:pPr>
      <w:r w:rsidRPr="00A868F0">
        <w:rPr>
          <w:rFonts w:cs="Arial"/>
          <w:kern w:val="0"/>
          <w:szCs w:val="22"/>
          <w:lang w:eastAsia="en-US"/>
        </w:rPr>
        <w:t xml:space="preserve">Acquired Brain Injury </w:t>
      </w:r>
    </w:p>
    <w:p w14:paraId="0D987253" w14:textId="77777777" w:rsidR="00642D53" w:rsidRPr="00A868F0" w:rsidRDefault="00642D53" w:rsidP="002E3D50">
      <w:pPr>
        <w:spacing w:line="240" w:lineRule="auto"/>
        <w:rPr>
          <w:rFonts w:cs="Arial"/>
          <w:kern w:val="0"/>
          <w:szCs w:val="22"/>
          <w:lang w:eastAsia="en-US"/>
        </w:rPr>
      </w:pPr>
    </w:p>
    <w:p w14:paraId="2C668BC2" w14:textId="77777777" w:rsidR="00642D53" w:rsidRPr="00A868F0" w:rsidRDefault="00642D53" w:rsidP="002E3D50">
      <w:pPr>
        <w:spacing w:line="240" w:lineRule="auto"/>
        <w:rPr>
          <w:rFonts w:cs="Arial"/>
          <w:kern w:val="0"/>
          <w:szCs w:val="22"/>
          <w:lang w:eastAsia="en-US"/>
        </w:rPr>
      </w:pPr>
      <w:r w:rsidRPr="00A868F0">
        <w:rPr>
          <w:rFonts w:cs="Arial"/>
          <w:kern w:val="0"/>
          <w:szCs w:val="22"/>
          <w:lang w:eastAsia="en-US"/>
        </w:rPr>
        <w:t>These procedures do not apply to:</w:t>
      </w:r>
    </w:p>
    <w:p w14:paraId="750C4E64" w14:textId="77777777" w:rsidR="00642D53" w:rsidRDefault="00642D53" w:rsidP="002E3D50">
      <w:pPr>
        <w:spacing w:line="240" w:lineRule="auto"/>
        <w:rPr>
          <w:rFonts w:cs="Arial"/>
          <w:kern w:val="0"/>
          <w:szCs w:val="22"/>
          <w:lang w:eastAsia="en-US"/>
        </w:rPr>
      </w:pPr>
      <w:r w:rsidRPr="00A868F0">
        <w:rPr>
          <w:rFonts w:cs="Arial"/>
          <w:kern w:val="0"/>
          <w:szCs w:val="22"/>
          <w:lang w:eastAsia="en-US"/>
        </w:rPr>
        <w:t xml:space="preserve"> </w:t>
      </w:r>
    </w:p>
    <w:p w14:paraId="74284604" w14:textId="77777777" w:rsidR="000E5B08" w:rsidRPr="000E5B08" w:rsidRDefault="00642D53" w:rsidP="002E3D50">
      <w:pPr>
        <w:spacing w:line="240" w:lineRule="auto"/>
        <w:rPr>
          <w:rFonts w:cs="Arial"/>
          <w:kern w:val="0"/>
          <w:szCs w:val="22"/>
          <w:lang w:eastAsia="en-US"/>
        </w:rPr>
      </w:pPr>
      <w:r w:rsidRPr="00A868F0">
        <w:rPr>
          <w:rFonts w:cs="Arial"/>
          <w:kern w:val="0"/>
          <w:szCs w:val="22"/>
          <w:lang w:eastAsia="en-US"/>
        </w:rPr>
        <w:t>Children</w:t>
      </w:r>
      <w:r>
        <w:rPr>
          <w:rFonts w:cs="Arial"/>
          <w:kern w:val="0"/>
          <w:szCs w:val="22"/>
          <w:lang w:eastAsia="en-US"/>
        </w:rPr>
        <w:t xml:space="preserve"> (under 18)</w:t>
      </w:r>
    </w:p>
    <w:p w14:paraId="4812F2AD" w14:textId="77777777" w:rsidR="004F0BD3" w:rsidRDefault="004F0BD3" w:rsidP="002E3D50">
      <w:pPr>
        <w:spacing w:line="240" w:lineRule="auto"/>
        <w:rPr>
          <w:rStyle w:val="Heading1Char"/>
          <w:b w:val="0"/>
        </w:rPr>
      </w:pPr>
    </w:p>
    <w:p w14:paraId="19F4ADFE" w14:textId="77777777" w:rsidR="000E5B08" w:rsidRPr="004F0BD3" w:rsidRDefault="000E5B08" w:rsidP="005C4F79">
      <w:pPr>
        <w:pStyle w:val="Heading1"/>
        <w:rPr>
          <w:rStyle w:val="Heading1Char"/>
          <w:b/>
        </w:rPr>
      </w:pPr>
      <w:bookmarkStart w:id="2" w:name="_Toc26869231"/>
      <w:r w:rsidRPr="004F0BD3">
        <w:rPr>
          <w:rStyle w:val="Heading1Char"/>
          <w:b/>
        </w:rPr>
        <w:t>3. EQUALITY STATEMENT</w:t>
      </w:r>
      <w:bookmarkEnd w:id="2"/>
    </w:p>
    <w:p w14:paraId="5AC3A644" w14:textId="77777777" w:rsidR="004F0BD3" w:rsidRDefault="004F0BD3" w:rsidP="000E5B08">
      <w:pPr>
        <w:spacing w:line="240" w:lineRule="auto"/>
        <w:rPr>
          <w:rFonts w:eastAsia="Calibri" w:cs="Arial"/>
          <w:kern w:val="0"/>
          <w:szCs w:val="22"/>
          <w:lang w:eastAsia="en-US"/>
        </w:rPr>
      </w:pPr>
    </w:p>
    <w:p w14:paraId="1ECE5300" w14:textId="77777777" w:rsidR="000E5B08" w:rsidRPr="000E5B08" w:rsidRDefault="000E5B08" w:rsidP="000E5B08">
      <w:pPr>
        <w:spacing w:line="240" w:lineRule="auto"/>
        <w:rPr>
          <w:rFonts w:eastAsia="Calibri" w:cs="Arial"/>
          <w:kern w:val="0"/>
          <w:szCs w:val="22"/>
          <w:lang w:eastAsia="en-US"/>
        </w:rPr>
      </w:pPr>
      <w:r w:rsidRPr="000E5B08">
        <w:rPr>
          <w:rFonts w:eastAsia="Calibri" w:cs="Arial"/>
          <w:kern w:val="0"/>
          <w:szCs w:val="22"/>
          <w:lang w:eastAsia="en-US"/>
        </w:rPr>
        <w:t>In applying this policy, the CCG will have due regard for the need to eliminate unlawful discrimination</w:t>
      </w:r>
      <w:r w:rsidRPr="000E5B08">
        <w:rPr>
          <w:rFonts w:eastAsia="Calibri" w:cs="Arial"/>
          <w:b/>
          <w:kern w:val="0"/>
          <w:szCs w:val="22"/>
          <w:lang w:eastAsia="en-US"/>
        </w:rPr>
        <w:t xml:space="preserve">, </w:t>
      </w:r>
      <w:r w:rsidRPr="000E5B08">
        <w:rPr>
          <w:rFonts w:eastAsia="Calibri" w:cs="Arial"/>
          <w:kern w:val="0"/>
          <w:szCs w:val="22"/>
          <w:lang w:eastAsia="en-US"/>
        </w:rPr>
        <w:t xml:space="preserve">promote equality of opportunity, and provide for good relations between people of diverse groups, in particular on the grounds of the following characteristics protected by the Equality Act (2010); age, disability, sex, gender reassignment, marriage and civil partnership, pregnancy and maternity, race, religion or belief, and sexual orientation, in addition to offending background, trade union membership, or any other personal characteristic. An equality impact assessment </w:t>
      </w:r>
      <w:r w:rsidR="001829CB">
        <w:rPr>
          <w:rFonts w:eastAsia="Calibri" w:cs="Arial"/>
          <w:kern w:val="0"/>
          <w:szCs w:val="22"/>
          <w:lang w:eastAsia="en-US"/>
        </w:rPr>
        <w:t xml:space="preserve">can be accessed </w:t>
      </w:r>
      <w:hyperlink r:id="rId11" w:history="1">
        <w:r w:rsidR="00B72A5F" w:rsidRPr="003A51C8">
          <w:rPr>
            <w:rStyle w:val="Hyperlink"/>
            <w:rFonts w:eastAsia="Calibri" w:cs="Arial"/>
            <w:color w:val="2F5496" w:themeColor="accent5" w:themeShade="BF"/>
            <w:kern w:val="0"/>
            <w:szCs w:val="22"/>
            <w:lang w:eastAsia="en-US"/>
          </w:rPr>
          <w:t>here</w:t>
        </w:r>
      </w:hyperlink>
      <w:r w:rsidR="00B72A5F">
        <w:rPr>
          <w:rFonts w:eastAsia="Calibri" w:cs="Arial"/>
          <w:kern w:val="0"/>
          <w:szCs w:val="22"/>
          <w:lang w:eastAsia="en-US"/>
        </w:rPr>
        <w:t xml:space="preserve">. </w:t>
      </w:r>
    </w:p>
    <w:p w14:paraId="6C52E7BC" w14:textId="77777777" w:rsidR="004F0BD3" w:rsidRDefault="004F0BD3" w:rsidP="004F0BD3">
      <w:pPr>
        <w:pStyle w:val="Heading1"/>
        <w:rPr>
          <w:rStyle w:val="Heading1Char"/>
          <w:b/>
        </w:rPr>
      </w:pPr>
    </w:p>
    <w:p w14:paraId="4391151A" w14:textId="77777777" w:rsidR="000E5B08" w:rsidRPr="004F0BD3" w:rsidRDefault="000E5B08" w:rsidP="005C4F79">
      <w:pPr>
        <w:pStyle w:val="Heading1"/>
        <w:rPr>
          <w:rStyle w:val="Heading1Char"/>
          <w:b/>
        </w:rPr>
      </w:pPr>
      <w:bookmarkStart w:id="3" w:name="_Toc26869232"/>
      <w:r w:rsidRPr="004F0BD3">
        <w:rPr>
          <w:rStyle w:val="Heading1Char"/>
          <w:b/>
        </w:rPr>
        <w:t>4. BRIBERY ACT 2010</w:t>
      </w:r>
      <w:bookmarkEnd w:id="3"/>
      <w:r w:rsidRPr="004F0BD3">
        <w:rPr>
          <w:rStyle w:val="Heading1Char"/>
          <w:b/>
        </w:rPr>
        <w:t xml:space="preserve"> </w:t>
      </w:r>
    </w:p>
    <w:p w14:paraId="2FE35F63" w14:textId="77777777" w:rsidR="004F0BD3" w:rsidRDefault="004F0BD3" w:rsidP="000E5B08">
      <w:pPr>
        <w:widowControl w:val="0"/>
        <w:autoSpaceDE w:val="0"/>
        <w:autoSpaceDN w:val="0"/>
        <w:adjustRightInd w:val="0"/>
        <w:spacing w:line="240" w:lineRule="auto"/>
        <w:rPr>
          <w:rFonts w:cs="Arial"/>
          <w:kern w:val="0"/>
          <w:szCs w:val="22"/>
        </w:rPr>
      </w:pPr>
    </w:p>
    <w:p w14:paraId="40CF23BE" w14:textId="77777777" w:rsidR="000E5B08" w:rsidRPr="000E5B08" w:rsidRDefault="000E5B08" w:rsidP="002E3D50">
      <w:pPr>
        <w:spacing w:line="240" w:lineRule="auto"/>
        <w:rPr>
          <w:rFonts w:cs="Arial"/>
          <w:kern w:val="0"/>
          <w:szCs w:val="22"/>
          <w:lang w:eastAsia="en-US"/>
        </w:rPr>
      </w:pPr>
      <w:r w:rsidRPr="000E5B08">
        <w:rPr>
          <w:rFonts w:cs="Arial"/>
          <w:kern w:val="0"/>
          <w:szCs w:val="22"/>
          <w:lang w:eastAsia="en-US"/>
        </w:rPr>
        <w:t>The CCG follows good NHS business practice as outlined in the Business Conduct Policy and has robust controls in place to prevent bribery.</w:t>
      </w:r>
    </w:p>
    <w:p w14:paraId="659B1480" w14:textId="77777777" w:rsidR="000E5B08" w:rsidRPr="000E5B08" w:rsidRDefault="000E5B08" w:rsidP="002E3D50">
      <w:pPr>
        <w:spacing w:line="240" w:lineRule="auto"/>
        <w:rPr>
          <w:rFonts w:cs="Arial"/>
          <w:kern w:val="0"/>
          <w:szCs w:val="22"/>
          <w:lang w:eastAsia="en-US"/>
        </w:rPr>
      </w:pPr>
    </w:p>
    <w:p w14:paraId="096E6299" w14:textId="77777777" w:rsidR="000E5B08" w:rsidRPr="002E3D50" w:rsidRDefault="000E5B08" w:rsidP="002E3D50">
      <w:pPr>
        <w:spacing w:line="240" w:lineRule="auto"/>
        <w:rPr>
          <w:rFonts w:cs="Arial"/>
          <w:kern w:val="0"/>
          <w:szCs w:val="22"/>
          <w:lang w:eastAsia="en-US"/>
        </w:rPr>
      </w:pPr>
      <w:r w:rsidRPr="000E5B08">
        <w:rPr>
          <w:rFonts w:cs="Arial"/>
          <w:kern w:val="0"/>
          <w:szCs w:val="22"/>
          <w:lang w:eastAsia="en-US"/>
        </w:rPr>
        <w:t>Under the Bribery Act 2010, it is a criminal offence to:</w:t>
      </w:r>
    </w:p>
    <w:p w14:paraId="6AC930DE" w14:textId="77777777" w:rsidR="000E5B08" w:rsidRPr="000E5B08" w:rsidRDefault="000E5B08" w:rsidP="002E3D50">
      <w:pPr>
        <w:spacing w:line="240" w:lineRule="auto"/>
        <w:rPr>
          <w:rFonts w:cs="Arial"/>
          <w:kern w:val="0"/>
          <w:szCs w:val="22"/>
          <w:lang w:eastAsia="en-US"/>
        </w:rPr>
      </w:pPr>
      <w:r w:rsidRPr="000E5B08">
        <w:rPr>
          <w:rFonts w:cs="Arial"/>
          <w:kern w:val="0"/>
          <w:szCs w:val="22"/>
          <w:lang w:eastAsia="en-US"/>
        </w:rPr>
        <w:t xml:space="preserve"> </w:t>
      </w:r>
    </w:p>
    <w:p w14:paraId="436491B6" w14:textId="77777777" w:rsidR="000E5B08" w:rsidRPr="000E5B08" w:rsidRDefault="000E5B08" w:rsidP="002C17BA">
      <w:pPr>
        <w:numPr>
          <w:ilvl w:val="0"/>
          <w:numId w:val="39"/>
        </w:numPr>
        <w:spacing w:line="240" w:lineRule="auto"/>
        <w:rPr>
          <w:rFonts w:cs="Arial"/>
          <w:kern w:val="0"/>
          <w:szCs w:val="22"/>
          <w:lang w:eastAsia="en-US"/>
        </w:rPr>
      </w:pPr>
      <w:r w:rsidRPr="000E5B08">
        <w:rPr>
          <w:rFonts w:cs="Arial"/>
          <w:kern w:val="0"/>
          <w:szCs w:val="22"/>
          <w:lang w:eastAsia="en-US"/>
        </w:rPr>
        <w:t xml:space="preserve">Bribe another person by offering, promising or giving a financial or other advantage to induce them to perform improperly a relevant function or activity, or as a reward for already having done so; and </w:t>
      </w:r>
    </w:p>
    <w:p w14:paraId="0436BDAD" w14:textId="77777777" w:rsidR="000E5B08" w:rsidRPr="000E5B08" w:rsidRDefault="000E5B08" w:rsidP="002E3D50">
      <w:pPr>
        <w:numPr>
          <w:ilvl w:val="0"/>
          <w:numId w:val="40"/>
        </w:numPr>
        <w:spacing w:line="240" w:lineRule="auto"/>
        <w:rPr>
          <w:rFonts w:cs="Arial"/>
          <w:kern w:val="0"/>
          <w:szCs w:val="22"/>
          <w:lang w:eastAsia="en-US"/>
        </w:rPr>
      </w:pPr>
      <w:r w:rsidRPr="000E5B08">
        <w:rPr>
          <w:rFonts w:cs="Arial"/>
          <w:kern w:val="0"/>
          <w:szCs w:val="22"/>
          <w:lang w:eastAsia="en-US"/>
        </w:rPr>
        <w:t xml:space="preserve">Be bribed by another person by requesting, agreeing to </w:t>
      </w:r>
      <w:proofErr w:type="gramStart"/>
      <w:r w:rsidRPr="000E5B08">
        <w:rPr>
          <w:rFonts w:cs="Arial"/>
          <w:kern w:val="0"/>
          <w:szCs w:val="22"/>
          <w:lang w:eastAsia="en-US"/>
        </w:rPr>
        <w:t>receive</w:t>
      </w:r>
      <w:proofErr w:type="gramEnd"/>
      <w:r w:rsidRPr="000E5B08">
        <w:rPr>
          <w:rFonts w:cs="Arial"/>
          <w:kern w:val="0"/>
          <w:szCs w:val="22"/>
          <w:lang w:eastAsia="en-US"/>
        </w:rPr>
        <w:t xml:space="preserve"> or accepting a financial or other advantage with the intention that a relevant function or activity would then be performed improperly, or as a reward for having already done so.</w:t>
      </w:r>
    </w:p>
    <w:p w14:paraId="43173F0F" w14:textId="77777777" w:rsidR="000E5B08" w:rsidRPr="000E5B08" w:rsidRDefault="000E5B08" w:rsidP="002E3D50">
      <w:pPr>
        <w:spacing w:line="240" w:lineRule="auto"/>
        <w:rPr>
          <w:rFonts w:cs="Arial"/>
          <w:kern w:val="0"/>
          <w:szCs w:val="22"/>
          <w:lang w:eastAsia="en-US"/>
        </w:rPr>
      </w:pPr>
    </w:p>
    <w:p w14:paraId="6DDAF88A" w14:textId="77777777" w:rsidR="000E5B08" w:rsidRPr="000E5B08" w:rsidRDefault="000E5B08" w:rsidP="002E3D50">
      <w:pPr>
        <w:spacing w:line="240" w:lineRule="auto"/>
        <w:rPr>
          <w:rFonts w:cs="Arial"/>
          <w:color w:val="000000"/>
          <w:kern w:val="0"/>
          <w:szCs w:val="22"/>
        </w:rPr>
      </w:pPr>
      <w:r w:rsidRPr="000E5B08">
        <w:rPr>
          <w:rFonts w:cs="Arial"/>
          <w:kern w:val="0"/>
          <w:szCs w:val="22"/>
          <w:lang w:eastAsia="en-US"/>
        </w:rPr>
        <w:lastRenderedPageBreak/>
        <w:t>Due consideration has been given to the Bribery Act 2010 in the development of this policy document and consistent application of this policy will mitigate bribery in relation to relocation assistance</w:t>
      </w:r>
      <w:r w:rsidRPr="000E5B08">
        <w:rPr>
          <w:rFonts w:cs="Arial"/>
          <w:color w:val="000000"/>
          <w:kern w:val="0"/>
          <w:szCs w:val="22"/>
        </w:rPr>
        <w:t>.</w:t>
      </w:r>
    </w:p>
    <w:p w14:paraId="047DBB06" w14:textId="77777777" w:rsidR="000E5B08" w:rsidRPr="000E5B08" w:rsidRDefault="000E5B08" w:rsidP="000E5B08">
      <w:pPr>
        <w:keepNext/>
        <w:spacing w:line="240" w:lineRule="auto"/>
        <w:outlineLvl w:val="0"/>
        <w:rPr>
          <w:rFonts w:cs="Arial"/>
          <w:b/>
          <w:bCs/>
          <w:kern w:val="0"/>
          <w:szCs w:val="22"/>
          <w:lang w:eastAsia="en-US"/>
        </w:rPr>
      </w:pPr>
    </w:p>
    <w:p w14:paraId="667C9671" w14:textId="77777777" w:rsidR="000E5B08" w:rsidRPr="000E5B08" w:rsidRDefault="000E5B08" w:rsidP="000E5B08">
      <w:pPr>
        <w:autoSpaceDE w:val="0"/>
        <w:autoSpaceDN w:val="0"/>
        <w:adjustRightInd w:val="0"/>
        <w:spacing w:line="240" w:lineRule="auto"/>
        <w:rPr>
          <w:rFonts w:eastAsia="Calibri" w:cs="Arial"/>
          <w:kern w:val="0"/>
          <w:szCs w:val="22"/>
        </w:rPr>
      </w:pPr>
      <w:r w:rsidRPr="000E5B08">
        <w:rPr>
          <w:rFonts w:eastAsia="Calibri" w:cs="Arial"/>
          <w:color w:val="000000"/>
          <w:kern w:val="0"/>
          <w:szCs w:val="22"/>
        </w:rPr>
        <w:t xml:space="preserve">Anyone with concerns or reasonably held suspicions about potentially fraudulent activity or practice should refer to the Local Anti-Fraud and </w:t>
      </w:r>
      <w:r w:rsidRPr="000E5B08">
        <w:rPr>
          <w:rFonts w:eastAsia="Calibri" w:cs="Arial"/>
          <w:color w:val="000000"/>
          <w:kern w:val="0"/>
          <w:szCs w:val="22"/>
        </w:rPr>
        <w:tab/>
        <w:t xml:space="preserve">Corruption Policy and contact the Local Counter Fraud Specialist. </w:t>
      </w:r>
    </w:p>
    <w:p w14:paraId="54A44EE8" w14:textId="77777777" w:rsidR="004F0BD3" w:rsidRDefault="004F0BD3" w:rsidP="004F0BD3">
      <w:pPr>
        <w:pStyle w:val="Heading1"/>
      </w:pPr>
    </w:p>
    <w:p w14:paraId="3E73FCAA" w14:textId="77777777" w:rsidR="00497B7E" w:rsidRDefault="000E5B08" w:rsidP="005C4F79">
      <w:pPr>
        <w:pStyle w:val="Heading1"/>
      </w:pPr>
      <w:bookmarkStart w:id="4" w:name="_Toc26869233"/>
      <w:r w:rsidRPr="004F0BD3">
        <w:t>5</w:t>
      </w:r>
      <w:r w:rsidR="00642D53" w:rsidRPr="004F0BD3">
        <w:t>.</w:t>
      </w:r>
      <w:r w:rsidR="00642D53" w:rsidRPr="004F0BD3">
        <w:tab/>
        <w:t>RESPONSIBILITIES</w:t>
      </w:r>
      <w:bookmarkEnd w:id="4"/>
    </w:p>
    <w:tbl>
      <w:tblPr>
        <w:tblStyle w:val="TableGridLight"/>
        <w:tblpPr w:leftFromText="180" w:rightFromText="180"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861"/>
      </w:tblGrid>
      <w:tr w:rsidR="003A51C8" w:rsidRPr="003A51C8" w14:paraId="46B1EF53" w14:textId="77777777" w:rsidTr="00EA7A50">
        <w:tc>
          <w:tcPr>
            <w:tcW w:w="2268" w:type="dxa"/>
            <w:shd w:val="clear" w:color="auto" w:fill="9CC2E5" w:themeFill="accent1" w:themeFillTint="99"/>
          </w:tcPr>
          <w:p w14:paraId="02B0CC32" w14:textId="77777777" w:rsidR="000256D0" w:rsidRPr="003A51C8" w:rsidRDefault="000256D0" w:rsidP="00846F97">
            <w:pPr>
              <w:spacing w:line="240" w:lineRule="auto"/>
              <w:rPr>
                <w:rFonts w:cs="Arial"/>
                <w:b/>
                <w:bCs/>
                <w:kern w:val="32"/>
                <w:szCs w:val="22"/>
                <w:lang w:eastAsia="en-US"/>
              </w:rPr>
            </w:pPr>
            <w:r w:rsidRPr="003A51C8">
              <w:rPr>
                <w:rFonts w:cs="Arial"/>
                <w:b/>
                <w:bCs/>
                <w:kern w:val="32"/>
                <w:szCs w:val="22"/>
                <w:lang w:eastAsia="en-US"/>
              </w:rPr>
              <w:t>Party</w:t>
            </w:r>
          </w:p>
        </w:tc>
        <w:tc>
          <w:tcPr>
            <w:tcW w:w="7592" w:type="dxa"/>
            <w:shd w:val="clear" w:color="auto" w:fill="9CC2E5" w:themeFill="accent1" w:themeFillTint="99"/>
          </w:tcPr>
          <w:p w14:paraId="539643C0" w14:textId="77777777" w:rsidR="000256D0" w:rsidRPr="003A51C8" w:rsidRDefault="000256D0" w:rsidP="00846F97">
            <w:pPr>
              <w:spacing w:line="240" w:lineRule="auto"/>
              <w:rPr>
                <w:rFonts w:cs="Arial"/>
                <w:b/>
                <w:bCs/>
                <w:color w:val="2F5496" w:themeColor="accent5" w:themeShade="BF"/>
                <w:kern w:val="32"/>
                <w:szCs w:val="22"/>
                <w:lang w:eastAsia="en-US"/>
              </w:rPr>
            </w:pPr>
            <w:r w:rsidRPr="003A51C8">
              <w:rPr>
                <w:rFonts w:cs="Arial"/>
                <w:b/>
                <w:bCs/>
                <w:kern w:val="32"/>
                <w:szCs w:val="22"/>
                <w:lang w:eastAsia="en-US"/>
              </w:rPr>
              <w:t>Key responsibilities</w:t>
            </w:r>
          </w:p>
        </w:tc>
      </w:tr>
      <w:tr w:rsidR="000256D0" w:rsidRPr="005A6741" w14:paraId="4CC89054" w14:textId="77777777" w:rsidTr="00EA7A50">
        <w:trPr>
          <w:trHeight w:val="2006"/>
        </w:trPr>
        <w:tc>
          <w:tcPr>
            <w:tcW w:w="2268" w:type="dxa"/>
            <w:tcBorders>
              <w:bottom w:val="single" w:sz="4" w:space="0" w:color="auto"/>
            </w:tcBorders>
          </w:tcPr>
          <w:p w14:paraId="33371413" w14:textId="77777777" w:rsidR="00225FBC" w:rsidRDefault="00225FBC" w:rsidP="00846F97">
            <w:pPr>
              <w:spacing w:line="240" w:lineRule="auto"/>
              <w:jc w:val="left"/>
              <w:rPr>
                <w:rFonts w:cs="Arial"/>
              </w:rPr>
            </w:pPr>
          </w:p>
          <w:p w14:paraId="6309FD55" w14:textId="77777777" w:rsidR="000256D0" w:rsidRPr="00225FBC" w:rsidRDefault="00225FBC" w:rsidP="00846F97">
            <w:pPr>
              <w:spacing w:line="240" w:lineRule="auto"/>
              <w:jc w:val="left"/>
              <w:rPr>
                <w:rFonts w:cs="Arial"/>
                <w:bCs/>
                <w:kern w:val="32"/>
                <w:sz w:val="20"/>
                <w:szCs w:val="20"/>
                <w:lang w:eastAsia="en-US"/>
              </w:rPr>
            </w:pPr>
            <w:r w:rsidRPr="00225FBC">
              <w:rPr>
                <w:rFonts w:cs="Arial"/>
                <w:sz w:val="20"/>
                <w:szCs w:val="20"/>
              </w:rPr>
              <w:t>Health &amp; Social Care staff assessment of clients for consideration of eligibility</w:t>
            </w:r>
          </w:p>
          <w:p w14:paraId="11489D51" w14:textId="77777777" w:rsidR="000256D0" w:rsidRPr="00225FBC" w:rsidRDefault="000256D0" w:rsidP="00846F97">
            <w:pPr>
              <w:pStyle w:val="NoSpacing"/>
              <w:spacing w:line="240" w:lineRule="auto"/>
              <w:jc w:val="left"/>
              <w:rPr>
                <w:rFonts w:ascii="Arial" w:hAnsi="Arial" w:cs="Arial"/>
              </w:rPr>
            </w:pPr>
          </w:p>
        </w:tc>
        <w:tc>
          <w:tcPr>
            <w:tcW w:w="7592" w:type="dxa"/>
            <w:tcBorders>
              <w:bottom w:val="single" w:sz="4" w:space="0" w:color="auto"/>
            </w:tcBorders>
          </w:tcPr>
          <w:p w14:paraId="5810DEFC" w14:textId="77777777" w:rsidR="00F8405F" w:rsidRPr="00F8405F" w:rsidRDefault="00F8405F" w:rsidP="00F8405F">
            <w:pPr>
              <w:pStyle w:val="NoSpacing"/>
              <w:numPr>
                <w:ilvl w:val="0"/>
                <w:numId w:val="49"/>
              </w:numPr>
              <w:spacing w:line="240" w:lineRule="auto"/>
              <w:ind w:left="284" w:hanging="284"/>
              <w:jc w:val="left"/>
              <w:rPr>
                <w:rFonts w:cs="Arial"/>
              </w:rPr>
            </w:pPr>
            <w:r w:rsidRPr="00F8405F">
              <w:rPr>
                <w:rFonts w:cs="Arial"/>
              </w:rPr>
              <w:t xml:space="preserve">Ensure consent is obtained prior to completing the CHC Checklist. If individual is unable to </w:t>
            </w:r>
            <w:proofErr w:type="gramStart"/>
            <w:r w:rsidRPr="00F8405F">
              <w:rPr>
                <w:rFonts w:cs="Arial"/>
              </w:rPr>
              <w:t>consent</w:t>
            </w:r>
            <w:proofErr w:type="gramEnd"/>
            <w:r w:rsidRPr="00F8405F">
              <w:rPr>
                <w:rFonts w:cs="Arial"/>
              </w:rPr>
              <w:t xml:space="preserve"> follow the Mental capacity Act (2005). </w:t>
            </w:r>
          </w:p>
          <w:p w14:paraId="1A475D63" w14:textId="77777777" w:rsidR="00F8405F" w:rsidRPr="00F8405F" w:rsidRDefault="00F8405F" w:rsidP="00F8405F">
            <w:pPr>
              <w:pStyle w:val="NoSpacing"/>
              <w:numPr>
                <w:ilvl w:val="0"/>
                <w:numId w:val="49"/>
              </w:numPr>
              <w:spacing w:line="240" w:lineRule="auto"/>
              <w:ind w:left="284" w:hanging="284"/>
              <w:jc w:val="left"/>
              <w:rPr>
                <w:rFonts w:cs="Arial"/>
              </w:rPr>
            </w:pPr>
            <w:r w:rsidRPr="00F8405F">
              <w:rPr>
                <w:rFonts w:cs="Arial"/>
              </w:rPr>
              <w:t xml:space="preserve">Complete the required documentation, Checklist and co-operate in completing the DST within 28 days of completing the Checklist </w:t>
            </w:r>
          </w:p>
          <w:p w14:paraId="3ED671C3" w14:textId="77777777" w:rsidR="00F8405F" w:rsidRPr="00F8405F" w:rsidRDefault="00F8405F" w:rsidP="00F8405F">
            <w:pPr>
              <w:pStyle w:val="NoSpacing"/>
              <w:numPr>
                <w:ilvl w:val="0"/>
                <w:numId w:val="49"/>
              </w:numPr>
              <w:spacing w:line="240" w:lineRule="auto"/>
              <w:ind w:left="284" w:hanging="284"/>
              <w:jc w:val="left"/>
              <w:rPr>
                <w:rFonts w:cs="Arial"/>
              </w:rPr>
            </w:pPr>
            <w:r w:rsidRPr="00F8405F">
              <w:rPr>
                <w:rFonts w:cs="Arial"/>
              </w:rPr>
              <w:t xml:space="preserve">Ensure that the </w:t>
            </w:r>
            <w:proofErr w:type="gramStart"/>
            <w:r w:rsidRPr="00F8405F">
              <w:rPr>
                <w:rFonts w:cs="Arial"/>
              </w:rPr>
              <w:t>Fast Track</w:t>
            </w:r>
            <w:proofErr w:type="gramEnd"/>
            <w:r w:rsidRPr="00F8405F">
              <w:rPr>
                <w:rFonts w:cs="Arial"/>
              </w:rPr>
              <w:t xml:space="preserve"> application is fully completed and forwarded to NHS NEL CHC Hub for authorisation </w:t>
            </w:r>
          </w:p>
          <w:p w14:paraId="158FE81E" w14:textId="43D714AA" w:rsidR="00CB60B0" w:rsidRPr="005A6741" w:rsidRDefault="00F8405F" w:rsidP="00F8405F">
            <w:pPr>
              <w:pStyle w:val="NoSpacing"/>
              <w:numPr>
                <w:ilvl w:val="0"/>
                <w:numId w:val="49"/>
              </w:numPr>
              <w:spacing w:line="240" w:lineRule="auto"/>
              <w:ind w:left="284" w:hanging="284"/>
              <w:jc w:val="left"/>
              <w:rPr>
                <w:rFonts w:ascii="Arial" w:hAnsi="Arial" w:cs="Arial"/>
              </w:rPr>
            </w:pPr>
            <w:r w:rsidRPr="00F8405F">
              <w:rPr>
                <w:rFonts w:cs="Arial"/>
              </w:rPr>
              <w:t xml:space="preserve">Forward the relevant documentation </w:t>
            </w:r>
            <w:proofErr w:type="gramStart"/>
            <w:r w:rsidRPr="00F8405F">
              <w:rPr>
                <w:rFonts w:cs="Arial"/>
              </w:rPr>
              <w:t xml:space="preserve">to </w:t>
            </w:r>
            <w:r w:rsidRPr="00F8405F">
              <w:t xml:space="preserve"> </w:t>
            </w:r>
            <w:r w:rsidRPr="00F8405F">
              <w:rPr>
                <w:rFonts w:cs="Arial"/>
              </w:rPr>
              <w:t>NHS</w:t>
            </w:r>
            <w:proofErr w:type="gramEnd"/>
            <w:r w:rsidRPr="00F8405F">
              <w:rPr>
                <w:rFonts w:cs="Arial"/>
              </w:rPr>
              <w:t xml:space="preserve"> NEL CHC Hub for FNC contributions and responsibility, when placing an individual within a nursing home in North East Lincolnshire for authorisation prior to placement</w:t>
            </w:r>
          </w:p>
        </w:tc>
      </w:tr>
      <w:tr w:rsidR="000256D0" w:rsidRPr="005A6741" w14:paraId="192A6AE3" w14:textId="77777777" w:rsidTr="00EA7A50">
        <w:tc>
          <w:tcPr>
            <w:tcW w:w="2268" w:type="dxa"/>
            <w:tcBorders>
              <w:left w:val="nil"/>
              <w:right w:val="nil"/>
            </w:tcBorders>
          </w:tcPr>
          <w:p w14:paraId="4555C0A8" w14:textId="77777777" w:rsidR="000256D0" w:rsidRPr="005A6741" w:rsidRDefault="000256D0" w:rsidP="00846F97">
            <w:pPr>
              <w:spacing w:line="240" w:lineRule="auto"/>
              <w:rPr>
                <w:rFonts w:cs="Arial"/>
                <w:b/>
                <w:bCs/>
                <w:kern w:val="32"/>
                <w:szCs w:val="22"/>
                <w:lang w:eastAsia="en-US"/>
              </w:rPr>
            </w:pPr>
          </w:p>
        </w:tc>
        <w:tc>
          <w:tcPr>
            <w:tcW w:w="7592" w:type="dxa"/>
            <w:tcBorders>
              <w:left w:val="nil"/>
              <w:right w:val="nil"/>
            </w:tcBorders>
          </w:tcPr>
          <w:p w14:paraId="05CCB438" w14:textId="77777777" w:rsidR="000256D0" w:rsidRPr="005A6741" w:rsidRDefault="000256D0" w:rsidP="00846F97">
            <w:pPr>
              <w:pStyle w:val="NoSpacing"/>
              <w:spacing w:line="240" w:lineRule="auto"/>
              <w:jc w:val="left"/>
              <w:rPr>
                <w:rFonts w:ascii="Arial" w:hAnsi="Arial" w:cs="Arial"/>
              </w:rPr>
            </w:pPr>
          </w:p>
        </w:tc>
      </w:tr>
      <w:tr w:rsidR="003A51C8" w:rsidRPr="003A51C8" w14:paraId="0174E8E1" w14:textId="77777777" w:rsidTr="00EA7A50">
        <w:tc>
          <w:tcPr>
            <w:tcW w:w="2268" w:type="dxa"/>
            <w:shd w:val="clear" w:color="auto" w:fill="9CC2E5" w:themeFill="accent1" w:themeFillTint="99"/>
          </w:tcPr>
          <w:p w14:paraId="0B535631" w14:textId="77777777" w:rsidR="000256D0" w:rsidRPr="003A51C8" w:rsidRDefault="000256D0" w:rsidP="00846F97">
            <w:pPr>
              <w:spacing w:line="240" w:lineRule="auto"/>
              <w:rPr>
                <w:rFonts w:cs="Arial"/>
                <w:b/>
                <w:bCs/>
                <w:kern w:val="32"/>
                <w:szCs w:val="22"/>
                <w:lang w:eastAsia="en-US"/>
              </w:rPr>
            </w:pPr>
            <w:r w:rsidRPr="003A51C8">
              <w:rPr>
                <w:rFonts w:cs="Arial"/>
                <w:b/>
                <w:bCs/>
                <w:kern w:val="32"/>
                <w:szCs w:val="22"/>
                <w:lang w:eastAsia="en-US"/>
              </w:rPr>
              <w:t>Party</w:t>
            </w:r>
          </w:p>
        </w:tc>
        <w:tc>
          <w:tcPr>
            <w:tcW w:w="7592" w:type="dxa"/>
            <w:shd w:val="clear" w:color="auto" w:fill="9CC2E5" w:themeFill="accent1" w:themeFillTint="99"/>
          </w:tcPr>
          <w:p w14:paraId="171E5378" w14:textId="77777777" w:rsidR="000256D0" w:rsidRPr="003A51C8" w:rsidRDefault="000256D0" w:rsidP="00846F97">
            <w:pPr>
              <w:spacing w:line="240" w:lineRule="auto"/>
              <w:rPr>
                <w:rFonts w:cs="Arial"/>
                <w:b/>
                <w:bCs/>
                <w:kern w:val="32"/>
                <w:szCs w:val="22"/>
                <w:lang w:eastAsia="en-US"/>
              </w:rPr>
            </w:pPr>
            <w:r w:rsidRPr="003A51C8">
              <w:rPr>
                <w:rFonts w:cs="Arial"/>
                <w:b/>
                <w:bCs/>
                <w:kern w:val="32"/>
                <w:szCs w:val="22"/>
                <w:lang w:eastAsia="en-US"/>
              </w:rPr>
              <w:t>Key responsibilities</w:t>
            </w:r>
          </w:p>
        </w:tc>
      </w:tr>
      <w:tr w:rsidR="000256D0" w:rsidRPr="005A6741" w14:paraId="528D4C17" w14:textId="77777777" w:rsidTr="00EA7A50">
        <w:tc>
          <w:tcPr>
            <w:tcW w:w="2268" w:type="dxa"/>
            <w:tcBorders>
              <w:bottom w:val="single" w:sz="4" w:space="0" w:color="auto"/>
            </w:tcBorders>
          </w:tcPr>
          <w:p w14:paraId="7D16C1BF" w14:textId="77777777" w:rsidR="000256D0" w:rsidRPr="00846F97" w:rsidRDefault="000256D0" w:rsidP="00846F97">
            <w:pPr>
              <w:spacing w:line="240" w:lineRule="auto"/>
              <w:rPr>
                <w:rFonts w:cs="Arial"/>
                <w:bCs/>
                <w:kern w:val="32"/>
                <w:sz w:val="20"/>
                <w:szCs w:val="20"/>
                <w:lang w:eastAsia="en-US"/>
              </w:rPr>
            </w:pPr>
          </w:p>
          <w:p w14:paraId="6D13BD90" w14:textId="77777777" w:rsidR="000256D0" w:rsidRPr="005A6741" w:rsidRDefault="0014551F" w:rsidP="00846F97">
            <w:pPr>
              <w:spacing w:line="240" w:lineRule="auto"/>
              <w:rPr>
                <w:rFonts w:cs="Arial"/>
                <w:b/>
                <w:bCs/>
                <w:kern w:val="32"/>
                <w:szCs w:val="22"/>
                <w:lang w:eastAsia="en-US"/>
              </w:rPr>
            </w:pPr>
            <w:r>
              <w:rPr>
                <w:rFonts w:cs="Arial"/>
                <w:bCs/>
                <w:kern w:val="32"/>
                <w:sz w:val="20"/>
                <w:szCs w:val="20"/>
                <w:lang w:eastAsia="en-US"/>
              </w:rPr>
              <w:t xml:space="preserve">NEL CCG </w:t>
            </w:r>
            <w:r w:rsidR="000256D0" w:rsidRPr="00846F97">
              <w:rPr>
                <w:rFonts w:cs="Arial"/>
                <w:bCs/>
                <w:kern w:val="32"/>
                <w:sz w:val="20"/>
                <w:szCs w:val="20"/>
                <w:lang w:eastAsia="en-US"/>
              </w:rPr>
              <w:t>Continuing Healthcare</w:t>
            </w:r>
            <w:r w:rsidR="000256D0" w:rsidRPr="005A6741">
              <w:rPr>
                <w:rFonts w:cs="Arial"/>
                <w:b/>
                <w:bCs/>
                <w:kern w:val="32"/>
                <w:szCs w:val="22"/>
                <w:lang w:eastAsia="en-US"/>
              </w:rPr>
              <w:t xml:space="preserve"> </w:t>
            </w:r>
            <w:r w:rsidR="000256D0" w:rsidRPr="00846F97">
              <w:rPr>
                <w:rFonts w:cs="Arial"/>
                <w:sz w:val="20"/>
                <w:szCs w:val="20"/>
              </w:rPr>
              <w:t>Team</w:t>
            </w:r>
          </w:p>
        </w:tc>
        <w:tc>
          <w:tcPr>
            <w:tcW w:w="7592" w:type="dxa"/>
            <w:tcBorders>
              <w:bottom w:val="single" w:sz="4" w:space="0" w:color="auto"/>
            </w:tcBorders>
          </w:tcPr>
          <w:p w14:paraId="02702F0D" w14:textId="4D87CA09" w:rsidR="00272880" w:rsidRPr="00272880" w:rsidRDefault="00272880" w:rsidP="00272880">
            <w:pPr>
              <w:pStyle w:val="NoSpacing"/>
              <w:numPr>
                <w:ilvl w:val="0"/>
                <w:numId w:val="49"/>
              </w:numPr>
              <w:spacing w:line="240" w:lineRule="auto"/>
              <w:ind w:left="284" w:hanging="284"/>
              <w:jc w:val="left"/>
              <w:rPr>
                <w:rFonts w:cs="Arial"/>
              </w:rPr>
            </w:pPr>
            <w:r w:rsidRPr="00272880">
              <w:rPr>
                <w:rFonts w:cs="Arial"/>
              </w:rPr>
              <w:t xml:space="preserve">Receive Fast Track Tools to ensure the standards required are met and that they indicate eligibility for receipt of service </w:t>
            </w:r>
          </w:p>
          <w:p w14:paraId="24C9C0FE" w14:textId="5E9CBB16" w:rsidR="00272880" w:rsidRPr="00272880" w:rsidRDefault="00272880" w:rsidP="00272880">
            <w:pPr>
              <w:pStyle w:val="NoSpacing"/>
              <w:numPr>
                <w:ilvl w:val="0"/>
                <w:numId w:val="49"/>
              </w:numPr>
              <w:spacing w:line="240" w:lineRule="auto"/>
              <w:ind w:left="284" w:hanging="284"/>
              <w:jc w:val="left"/>
              <w:rPr>
                <w:rFonts w:cs="Arial"/>
              </w:rPr>
            </w:pPr>
            <w:r w:rsidRPr="00272880">
              <w:rPr>
                <w:rFonts w:cs="Arial"/>
              </w:rPr>
              <w:t xml:space="preserve">Maintain the continuing healthcare data base ensuring all referrals are recorded and that all correspondence is kept for each individual patient </w:t>
            </w:r>
          </w:p>
          <w:p w14:paraId="6AFD9DC0" w14:textId="1C989148" w:rsidR="00272880" w:rsidRPr="00272880" w:rsidRDefault="00272880" w:rsidP="00272880">
            <w:pPr>
              <w:pStyle w:val="NoSpacing"/>
              <w:numPr>
                <w:ilvl w:val="0"/>
                <w:numId w:val="49"/>
              </w:numPr>
              <w:spacing w:line="240" w:lineRule="auto"/>
              <w:ind w:left="284" w:hanging="284"/>
              <w:jc w:val="left"/>
              <w:rPr>
                <w:rFonts w:cs="Arial"/>
              </w:rPr>
            </w:pPr>
            <w:r w:rsidRPr="00272880">
              <w:rPr>
                <w:rFonts w:cs="Arial"/>
              </w:rPr>
              <w:t xml:space="preserve">Appoint a Clinical Commissioning Manager (CCM) to oversee, facilitate the assessment process </w:t>
            </w:r>
          </w:p>
          <w:p w14:paraId="1E99B88D" w14:textId="5169356B" w:rsidR="00272880" w:rsidRPr="00272880" w:rsidRDefault="00272880" w:rsidP="00272880">
            <w:pPr>
              <w:pStyle w:val="NoSpacing"/>
              <w:numPr>
                <w:ilvl w:val="0"/>
                <w:numId w:val="49"/>
              </w:numPr>
              <w:spacing w:line="240" w:lineRule="auto"/>
              <w:ind w:left="284" w:hanging="284"/>
              <w:jc w:val="left"/>
              <w:rPr>
                <w:rFonts w:cs="Arial"/>
              </w:rPr>
            </w:pPr>
            <w:r>
              <w:rPr>
                <w:rFonts w:cs="Arial"/>
              </w:rPr>
              <w:t>R</w:t>
            </w:r>
            <w:r w:rsidRPr="00272880">
              <w:rPr>
                <w:rFonts w:cs="Arial"/>
              </w:rPr>
              <w:t xml:space="preserve">eview completed DST to ensure it is completed fully, in accordance with the National Framework, supported by robust clinical evidence and in an appropriate manner and that it has a clearly stated recommendation from the Multi-disciplinary Team who have completed it seeking further clarification as necessary </w:t>
            </w:r>
          </w:p>
          <w:p w14:paraId="0A49BEFC" w14:textId="5F91FE70" w:rsidR="00272880" w:rsidRPr="00272880" w:rsidRDefault="00272880" w:rsidP="00272880">
            <w:pPr>
              <w:pStyle w:val="NoSpacing"/>
              <w:numPr>
                <w:ilvl w:val="0"/>
                <w:numId w:val="49"/>
              </w:numPr>
              <w:spacing w:line="240" w:lineRule="auto"/>
              <w:ind w:left="284" w:hanging="284"/>
              <w:jc w:val="left"/>
              <w:rPr>
                <w:rFonts w:cs="Arial"/>
              </w:rPr>
            </w:pPr>
            <w:r w:rsidRPr="00272880">
              <w:rPr>
                <w:rFonts w:cs="Arial"/>
              </w:rPr>
              <w:t xml:space="preserve">Ensure appropriate health professionals including a social care practitioner </w:t>
            </w:r>
            <w:proofErr w:type="gramStart"/>
            <w:r w:rsidRPr="00272880">
              <w:rPr>
                <w:rFonts w:cs="Arial"/>
              </w:rPr>
              <w:t>are in attendance at</w:t>
            </w:r>
            <w:proofErr w:type="gramEnd"/>
            <w:r w:rsidRPr="00272880">
              <w:rPr>
                <w:rFonts w:cs="Arial"/>
              </w:rPr>
              <w:t xml:space="preserve"> the MDT/DST process. If a social care practitioner is not available to take part this must be recorded in the patient’s notes</w:t>
            </w:r>
          </w:p>
          <w:p w14:paraId="4A308125" w14:textId="3A4EECB0" w:rsidR="00272880" w:rsidRPr="00272880" w:rsidRDefault="00272880" w:rsidP="00272880">
            <w:pPr>
              <w:pStyle w:val="NoSpacing"/>
              <w:numPr>
                <w:ilvl w:val="0"/>
                <w:numId w:val="49"/>
              </w:numPr>
              <w:spacing w:line="240" w:lineRule="auto"/>
              <w:ind w:left="284" w:hanging="284"/>
              <w:jc w:val="left"/>
              <w:rPr>
                <w:rFonts w:cs="Arial"/>
              </w:rPr>
            </w:pPr>
            <w:r>
              <w:rPr>
                <w:rFonts w:cs="Arial"/>
              </w:rPr>
              <w:t>V</w:t>
            </w:r>
            <w:r w:rsidRPr="00272880">
              <w:rPr>
                <w:rFonts w:cs="Arial"/>
              </w:rPr>
              <w:t>erification of Consent, Checklists, Fast Tracks</w:t>
            </w:r>
          </w:p>
          <w:p w14:paraId="41D739BD" w14:textId="6C0AD9D7" w:rsidR="00272880" w:rsidRPr="00272880" w:rsidRDefault="00272880" w:rsidP="00272880">
            <w:pPr>
              <w:pStyle w:val="NoSpacing"/>
              <w:numPr>
                <w:ilvl w:val="0"/>
                <w:numId w:val="49"/>
              </w:numPr>
              <w:spacing w:line="240" w:lineRule="auto"/>
              <w:ind w:left="284" w:hanging="284"/>
              <w:jc w:val="left"/>
              <w:rPr>
                <w:rFonts w:cs="Arial"/>
              </w:rPr>
            </w:pPr>
            <w:r w:rsidRPr="00272880">
              <w:rPr>
                <w:rFonts w:cs="Arial"/>
              </w:rPr>
              <w:t>Arrange for the DST to be presented to the Continuing Healthcare (CHC) Panel along with any supporting information</w:t>
            </w:r>
          </w:p>
          <w:p w14:paraId="78CEE491" w14:textId="6D1F7D89" w:rsidR="00272880" w:rsidRPr="00272880" w:rsidRDefault="00272880" w:rsidP="00272880">
            <w:pPr>
              <w:pStyle w:val="NoSpacing"/>
              <w:numPr>
                <w:ilvl w:val="0"/>
                <w:numId w:val="49"/>
              </w:numPr>
              <w:spacing w:line="240" w:lineRule="auto"/>
              <w:ind w:left="284" w:hanging="284"/>
              <w:jc w:val="left"/>
              <w:rPr>
                <w:rFonts w:cs="Arial"/>
              </w:rPr>
            </w:pPr>
            <w:r w:rsidRPr="00272880">
              <w:rPr>
                <w:rFonts w:cs="Arial"/>
              </w:rPr>
              <w:t>Write to the patient or their representative with the outcome and how to appeal</w:t>
            </w:r>
          </w:p>
          <w:p w14:paraId="342397DF" w14:textId="1FD11931" w:rsidR="00272880" w:rsidRPr="00272880" w:rsidRDefault="00272880" w:rsidP="00272880">
            <w:pPr>
              <w:pStyle w:val="NoSpacing"/>
              <w:numPr>
                <w:ilvl w:val="0"/>
                <w:numId w:val="49"/>
              </w:numPr>
              <w:spacing w:line="240" w:lineRule="auto"/>
              <w:ind w:left="284" w:hanging="284"/>
              <w:jc w:val="left"/>
              <w:rPr>
                <w:rFonts w:cs="Arial"/>
              </w:rPr>
            </w:pPr>
            <w:r w:rsidRPr="00272880">
              <w:rPr>
                <w:rFonts w:cs="Arial"/>
              </w:rPr>
              <w:t>If verification of eligibility is given by the panel for 100% continuing healthcare, arrange the package of care/ Personal Health Budget (</w:t>
            </w:r>
            <w:proofErr w:type="gramStart"/>
            <w:r w:rsidRPr="00272880">
              <w:rPr>
                <w:rFonts w:cs="Arial"/>
              </w:rPr>
              <w:t>PHB)  based</w:t>
            </w:r>
            <w:proofErr w:type="gramEnd"/>
            <w:r w:rsidRPr="00272880">
              <w:rPr>
                <w:rFonts w:cs="Arial"/>
              </w:rPr>
              <w:t xml:space="preserve"> on the needs of the individual and provide costing’s of the package of care/PHB for approval</w:t>
            </w:r>
          </w:p>
          <w:p w14:paraId="54860FF7" w14:textId="6C7AD746" w:rsidR="00272880" w:rsidRPr="00272880" w:rsidRDefault="00272880" w:rsidP="00272880">
            <w:pPr>
              <w:pStyle w:val="NoSpacing"/>
              <w:numPr>
                <w:ilvl w:val="0"/>
                <w:numId w:val="49"/>
              </w:numPr>
              <w:spacing w:line="240" w:lineRule="auto"/>
              <w:ind w:left="284" w:hanging="284"/>
              <w:jc w:val="left"/>
              <w:rPr>
                <w:rFonts w:cs="Arial"/>
              </w:rPr>
            </w:pPr>
            <w:r w:rsidRPr="00272880">
              <w:rPr>
                <w:rFonts w:cs="Arial"/>
              </w:rPr>
              <w:lastRenderedPageBreak/>
              <w:t>If the individual is not eligible for NHS CHC but is entitled to NHS FNC arrange for the payments to be made to the care home in a timely manner</w:t>
            </w:r>
          </w:p>
          <w:p w14:paraId="361F5B49" w14:textId="327DF239" w:rsidR="00272880" w:rsidRPr="00272880" w:rsidRDefault="00272880" w:rsidP="00272880">
            <w:pPr>
              <w:pStyle w:val="NoSpacing"/>
              <w:numPr>
                <w:ilvl w:val="0"/>
                <w:numId w:val="49"/>
              </w:numPr>
              <w:spacing w:line="240" w:lineRule="auto"/>
              <w:ind w:left="284" w:hanging="284"/>
              <w:jc w:val="left"/>
              <w:rPr>
                <w:rFonts w:cs="Arial"/>
              </w:rPr>
            </w:pPr>
            <w:r w:rsidRPr="00272880">
              <w:rPr>
                <w:rFonts w:cs="Arial"/>
              </w:rPr>
              <w:t>Record all panel decisions in individual’s case records (panel minutes) and ensure all communication of panel decisions is undertaken in a timely and professional manner</w:t>
            </w:r>
          </w:p>
          <w:p w14:paraId="6BFDD037" w14:textId="4DDEBBEF" w:rsidR="00272880" w:rsidRPr="00272880" w:rsidRDefault="00272880" w:rsidP="00272880">
            <w:pPr>
              <w:pStyle w:val="NoSpacing"/>
              <w:numPr>
                <w:ilvl w:val="0"/>
                <w:numId w:val="49"/>
              </w:numPr>
              <w:spacing w:line="240" w:lineRule="auto"/>
              <w:ind w:left="284" w:hanging="284"/>
              <w:jc w:val="left"/>
              <w:rPr>
                <w:rFonts w:cs="Arial"/>
              </w:rPr>
            </w:pPr>
            <w:r w:rsidRPr="00272880">
              <w:rPr>
                <w:rFonts w:cs="Arial"/>
              </w:rPr>
              <w:t>Ensure patient case management arrangements are in place</w:t>
            </w:r>
          </w:p>
          <w:p w14:paraId="0329BFE0" w14:textId="50EE1EAD" w:rsidR="00272880" w:rsidRPr="00272880" w:rsidRDefault="00272880" w:rsidP="00272880">
            <w:pPr>
              <w:pStyle w:val="NoSpacing"/>
              <w:numPr>
                <w:ilvl w:val="0"/>
                <w:numId w:val="49"/>
              </w:numPr>
              <w:spacing w:line="240" w:lineRule="auto"/>
              <w:ind w:left="284" w:hanging="284"/>
              <w:jc w:val="left"/>
              <w:rPr>
                <w:rFonts w:cs="Arial"/>
              </w:rPr>
            </w:pPr>
            <w:r w:rsidRPr="00272880">
              <w:rPr>
                <w:rFonts w:cs="Arial"/>
              </w:rPr>
              <w:t>Ensure reviews are undertaken in line with national policy and at other times as required</w:t>
            </w:r>
          </w:p>
          <w:p w14:paraId="73B2AB72" w14:textId="7277B0B6" w:rsidR="00272880" w:rsidRPr="00272880" w:rsidRDefault="00272880" w:rsidP="00272880">
            <w:pPr>
              <w:pStyle w:val="NoSpacing"/>
              <w:numPr>
                <w:ilvl w:val="0"/>
                <w:numId w:val="49"/>
              </w:numPr>
              <w:spacing w:line="240" w:lineRule="auto"/>
              <w:ind w:left="284" w:hanging="284"/>
              <w:jc w:val="left"/>
              <w:rPr>
                <w:rFonts w:cs="Arial"/>
              </w:rPr>
            </w:pPr>
            <w:r w:rsidRPr="00272880">
              <w:rPr>
                <w:rFonts w:cs="Arial"/>
              </w:rPr>
              <w:t>Ensure that the CCG is alerted to issues with Care providers which may compromise quality of care</w:t>
            </w:r>
          </w:p>
          <w:p w14:paraId="4C57776C" w14:textId="7D89963E" w:rsidR="00846F97" w:rsidRPr="00272880" w:rsidRDefault="00272880" w:rsidP="00272880">
            <w:pPr>
              <w:pStyle w:val="NoSpacing"/>
              <w:numPr>
                <w:ilvl w:val="0"/>
                <w:numId w:val="49"/>
              </w:numPr>
              <w:spacing w:line="240" w:lineRule="auto"/>
              <w:ind w:left="284" w:hanging="284"/>
              <w:jc w:val="left"/>
              <w:rPr>
                <w:rFonts w:cs="Arial"/>
              </w:rPr>
            </w:pPr>
            <w:r w:rsidRPr="00272880">
              <w:rPr>
                <w:rFonts w:cs="Arial"/>
              </w:rPr>
              <w:t>Ensure all persons eligible for CHC are offered a PHB</w:t>
            </w:r>
          </w:p>
        </w:tc>
      </w:tr>
      <w:tr w:rsidR="000256D0" w:rsidRPr="005A6741" w14:paraId="30ACEDAB" w14:textId="77777777" w:rsidTr="00EA7A50">
        <w:tc>
          <w:tcPr>
            <w:tcW w:w="2268" w:type="dxa"/>
            <w:tcBorders>
              <w:left w:val="nil"/>
              <w:right w:val="nil"/>
            </w:tcBorders>
          </w:tcPr>
          <w:p w14:paraId="11ACF0BD" w14:textId="77777777" w:rsidR="000256D0" w:rsidRPr="005A6741" w:rsidRDefault="000256D0" w:rsidP="00846F97">
            <w:pPr>
              <w:spacing w:line="240" w:lineRule="auto"/>
              <w:rPr>
                <w:rFonts w:cs="Arial"/>
                <w:b/>
                <w:bCs/>
                <w:kern w:val="32"/>
                <w:szCs w:val="22"/>
                <w:lang w:eastAsia="en-US"/>
              </w:rPr>
            </w:pPr>
          </w:p>
        </w:tc>
        <w:tc>
          <w:tcPr>
            <w:tcW w:w="7592" w:type="dxa"/>
            <w:tcBorders>
              <w:left w:val="nil"/>
              <w:right w:val="nil"/>
            </w:tcBorders>
          </w:tcPr>
          <w:p w14:paraId="329C4918" w14:textId="77777777" w:rsidR="000256D0" w:rsidRPr="005A6741" w:rsidRDefault="000256D0" w:rsidP="00846F97">
            <w:pPr>
              <w:pStyle w:val="NoSpacing"/>
              <w:spacing w:line="240" w:lineRule="auto"/>
              <w:jc w:val="left"/>
              <w:rPr>
                <w:rFonts w:ascii="Arial" w:hAnsi="Arial" w:cs="Arial"/>
              </w:rPr>
            </w:pPr>
          </w:p>
        </w:tc>
      </w:tr>
      <w:tr w:rsidR="00D508A8" w:rsidRPr="00D508A8" w14:paraId="76796EB3" w14:textId="77777777" w:rsidTr="00EA7A50">
        <w:tc>
          <w:tcPr>
            <w:tcW w:w="2268" w:type="dxa"/>
            <w:shd w:val="clear" w:color="auto" w:fill="9CC2E5" w:themeFill="accent1" w:themeFillTint="99"/>
          </w:tcPr>
          <w:p w14:paraId="75268BB0" w14:textId="77777777" w:rsidR="000256D0" w:rsidRPr="00D508A8" w:rsidRDefault="000256D0" w:rsidP="00846F97">
            <w:pPr>
              <w:spacing w:line="240" w:lineRule="auto"/>
              <w:rPr>
                <w:rFonts w:cs="Arial"/>
                <w:b/>
                <w:bCs/>
                <w:kern w:val="32"/>
                <w:szCs w:val="22"/>
                <w:lang w:eastAsia="en-US"/>
              </w:rPr>
            </w:pPr>
            <w:r w:rsidRPr="00D508A8">
              <w:rPr>
                <w:rFonts w:cs="Arial"/>
                <w:b/>
                <w:bCs/>
                <w:kern w:val="32"/>
                <w:szCs w:val="22"/>
                <w:lang w:eastAsia="en-US"/>
              </w:rPr>
              <w:t>Party</w:t>
            </w:r>
          </w:p>
        </w:tc>
        <w:tc>
          <w:tcPr>
            <w:tcW w:w="7592" w:type="dxa"/>
            <w:shd w:val="clear" w:color="auto" w:fill="9CC2E5" w:themeFill="accent1" w:themeFillTint="99"/>
          </w:tcPr>
          <w:p w14:paraId="62C9E595" w14:textId="77777777" w:rsidR="000256D0" w:rsidRPr="00D508A8" w:rsidRDefault="000256D0" w:rsidP="00846F97">
            <w:pPr>
              <w:spacing w:line="240" w:lineRule="auto"/>
              <w:rPr>
                <w:rFonts w:cs="Arial"/>
                <w:b/>
                <w:bCs/>
                <w:kern w:val="32"/>
                <w:szCs w:val="22"/>
                <w:lang w:eastAsia="en-US"/>
              </w:rPr>
            </w:pPr>
            <w:r w:rsidRPr="00D508A8">
              <w:rPr>
                <w:rFonts w:cs="Arial"/>
                <w:b/>
                <w:bCs/>
                <w:kern w:val="32"/>
                <w:szCs w:val="22"/>
                <w:lang w:eastAsia="en-US"/>
              </w:rPr>
              <w:t>Key responsibilities</w:t>
            </w:r>
          </w:p>
        </w:tc>
      </w:tr>
      <w:tr w:rsidR="000256D0" w:rsidRPr="005F1F2D" w14:paraId="4D0F599A" w14:textId="77777777" w:rsidTr="00EA7A50">
        <w:tc>
          <w:tcPr>
            <w:tcW w:w="2268" w:type="dxa"/>
            <w:tcBorders>
              <w:bottom w:val="single" w:sz="4" w:space="0" w:color="auto"/>
            </w:tcBorders>
          </w:tcPr>
          <w:p w14:paraId="2B98C69C" w14:textId="77777777" w:rsidR="000256D0" w:rsidRPr="005A6741" w:rsidRDefault="000256D0" w:rsidP="00846F97">
            <w:pPr>
              <w:spacing w:line="240" w:lineRule="auto"/>
              <w:rPr>
                <w:rFonts w:cs="Arial"/>
                <w:b/>
                <w:bCs/>
                <w:kern w:val="32"/>
                <w:szCs w:val="22"/>
                <w:lang w:eastAsia="en-US"/>
              </w:rPr>
            </w:pPr>
          </w:p>
          <w:p w14:paraId="1F0812A2" w14:textId="77777777" w:rsidR="000256D0" w:rsidRPr="005A6741" w:rsidRDefault="0014551F" w:rsidP="0014551F">
            <w:pPr>
              <w:spacing w:line="240" w:lineRule="auto"/>
              <w:jc w:val="left"/>
              <w:rPr>
                <w:rFonts w:cs="Arial"/>
                <w:b/>
                <w:bCs/>
                <w:kern w:val="32"/>
                <w:szCs w:val="22"/>
                <w:lang w:eastAsia="en-US"/>
              </w:rPr>
            </w:pPr>
            <w:r>
              <w:rPr>
                <w:rFonts w:cs="Arial"/>
                <w:bCs/>
                <w:kern w:val="32"/>
                <w:sz w:val="20"/>
                <w:szCs w:val="20"/>
                <w:lang w:eastAsia="en-US"/>
              </w:rPr>
              <w:t xml:space="preserve">NEL </w:t>
            </w:r>
            <w:r w:rsidR="000256D0" w:rsidRPr="00846F97">
              <w:rPr>
                <w:rFonts w:cs="Arial"/>
                <w:bCs/>
                <w:kern w:val="32"/>
                <w:sz w:val="20"/>
                <w:szCs w:val="20"/>
                <w:lang w:eastAsia="en-US"/>
              </w:rPr>
              <w:t>Continuing Healthcare Panel</w:t>
            </w:r>
          </w:p>
        </w:tc>
        <w:tc>
          <w:tcPr>
            <w:tcW w:w="7592" w:type="dxa"/>
            <w:tcBorders>
              <w:bottom w:val="single" w:sz="4" w:space="0" w:color="auto"/>
            </w:tcBorders>
          </w:tcPr>
          <w:p w14:paraId="13BFA107" w14:textId="77777777" w:rsidR="00251340" w:rsidRPr="00D64B1C" w:rsidRDefault="00251340" w:rsidP="005F1F2D">
            <w:pPr>
              <w:pStyle w:val="NoSpacing"/>
              <w:numPr>
                <w:ilvl w:val="0"/>
                <w:numId w:val="49"/>
              </w:numPr>
              <w:spacing w:line="240" w:lineRule="auto"/>
              <w:ind w:left="284" w:hanging="284"/>
              <w:jc w:val="left"/>
              <w:rPr>
                <w:rFonts w:cs="Arial"/>
              </w:rPr>
            </w:pPr>
            <w:r w:rsidRPr="00D64B1C">
              <w:rPr>
                <w:rFonts w:cs="Arial"/>
              </w:rPr>
              <w:t>Consider all applications for continuing healthcare eligibility in a timely and robust manner and verify recommendation</w:t>
            </w:r>
          </w:p>
          <w:p w14:paraId="39914AA8" w14:textId="77777777" w:rsidR="005F1F2D" w:rsidRDefault="00251340" w:rsidP="005F1F2D">
            <w:pPr>
              <w:pStyle w:val="NoSpacing"/>
              <w:numPr>
                <w:ilvl w:val="0"/>
                <w:numId w:val="49"/>
              </w:numPr>
              <w:spacing w:line="240" w:lineRule="auto"/>
              <w:ind w:left="284" w:hanging="284"/>
              <w:jc w:val="left"/>
              <w:rPr>
                <w:rFonts w:cs="Arial"/>
              </w:rPr>
            </w:pPr>
            <w:r w:rsidRPr="00D64B1C">
              <w:rPr>
                <w:rFonts w:cs="Arial"/>
              </w:rPr>
              <w:t>Consider all patients who no longer meet the eligibility for 100% care pac</w:t>
            </w:r>
            <w:r w:rsidR="005F1F2D">
              <w:rPr>
                <w:rFonts w:cs="Arial"/>
              </w:rPr>
              <w:t>kages and verify recommendation</w:t>
            </w:r>
          </w:p>
          <w:p w14:paraId="15E9E2F4" w14:textId="77777777" w:rsidR="00251340" w:rsidRPr="00D64B1C" w:rsidRDefault="00251340" w:rsidP="005F1F2D">
            <w:pPr>
              <w:pStyle w:val="NoSpacing"/>
              <w:numPr>
                <w:ilvl w:val="0"/>
                <w:numId w:val="49"/>
              </w:numPr>
              <w:spacing w:line="240" w:lineRule="auto"/>
              <w:ind w:left="284" w:hanging="284"/>
              <w:jc w:val="left"/>
              <w:rPr>
                <w:rFonts w:cs="Arial"/>
              </w:rPr>
            </w:pPr>
            <w:r w:rsidRPr="00D64B1C">
              <w:rPr>
                <w:rFonts w:cs="Arial"/>
              </w:rPr>
              <w:t>Verify the eligibility of a client/patient for a NHS funded package of care</w:t>
            </w:r>
          </w:p>
          <w:p w14:paraId="48B46EE6" w14:textId="77777777" w:rsidR="00846F97" w:rsidRPr="005F1F2D" w:rsidRDefault="00251340" w:rsidP="005F1F2D">
            <w:pPr>
              <w:pStyle w:val="NoSpacing"/>
              <w:numPr>
                <w:ilvl w:val="0"/>
                <w:numId w:val="49"/>
              </w:numPr>
              <w:spacing w:line="240" w:lineRule="auto"/>
              <w:ind w:left="284" w:hanging="284"/>
              <w:jc w:val="left"/>
              <w:rPr>
                <w:rFonts w:cs="Arial"/>
              </w:rPr>
            </w:pPr>
            <w:r w:rsidRPr="00D64B1C">
              <w:rPr>
                <w:rFonts w:cs="Arial"/>
              </w:rPr>
              <w:t>Review recommendation that an individual is no longer eligible for NHS FNC</w:t>
            </w:r>
          </w:p>
        </w:tc>
      </w:tr>
      <w:tr w:rsidR="000256D0" w:rsidRPr="005A6741" w14:paraId="7CEFA9D7" w14:textId="77777777" w:rsidTr="00EA7A50">
        <w:tc>
          <w:tcPr>
            <w:tcW w:w="2268" w:type="dxa"/>
            <w:tcBorders>
              <w:left w:val="nil"/>
              <w:right w:val="nil"/>
            </w:tcBorders>
          </w:tcPr>
          <w:p w14:paraId="60ED3FEF" w14:textId="77777777" w:rsidR="000256D0" w:rsidRPr="005A6741" w:rsidRDefault="000256D0" w:rsidP="00846F97">
            <w:pPr>
              <w:spacing w:line="240" w:lineRule="auto"/>
              <w:rPr>
                <w:rFonts w:cs="Arial"/>
                <w:b/>
                <w:bCs/>
                <w:kern w:val="32"/>
                <w:szCs w:val="22"/>
                <w:lang w:eastAsia="en-US"/>
              </w:rPr>
            </w:pPr>
          </w:p>
        </w:tc>
        <w:tc>
          <w:tcPr>
            <w:tcW w:w="7592" w:type="dxa"/>
            <w:tcBorders>
              <w:left w:val="nil"/>
              <w:right w:val="nil"/>
            </w:tcBorders>
          </w:tcPr>
          <w:p w14:paraId="08BAAF9C" w14:textId="77777777" w:rsidR="000256D0" w:rsidRPr="005A6741" w:rsidRDefault="000256D0" w:rsidP="00846F97">
            <w:pPr>
              <w:pStyle w:val="NoSpacing"/>
              <w:spacing w:line="240" w:lineRule="auto"/>
              <w:jc w:val="left"/>
              <w:rPr>
                <w:rFonts w:ascii="Arial" w:hAnsi="Arial" w:cs="Arial"/>
              </w:rPr>
            </w:pPr>
          </w:p>
        </w:tc>
      </w:tr>
      <w:tr w:rsidR="000256D0" w:rsidRPr="005A6741" w14:paraId="04843663" w14:textId="77777777" w:rsidTr="00EA7A50">
        <w:tc>
          <w:tcPr>
            <w:tcW w:w="2268" w:type="dxa"/>
            <w:shd w:val="clear" w:color="auto" w:fill="9CC2E5" w:themeFill="accent1" w:themeFillTint="99"/>
          </w:tcPr>
          <w:p w14:paraId="1153A9D3" w14:textId="77777777" w:rsidR="000256D0" w:rsidRPr="00D508A8" w:rsidRDefault="000256D0" w:rsidP="00846F97">
            <w:pPr>
              <w:spacing w:line="240" w:lineRule="auto"/>
              <w:rPr>
                <w:rFonts w:cs="Arial"/>
                <w:b/>
                <w:bCs/>
                <w:kern w:val="32"/>
                <w:szCs w:val="22"/>
                <w:lang w:eastAsia="en-US"/>
              </w:rPr>
            </w:pPr>
            <w:r w:rsidRPr="00D508A8">
              <w:rPr>
                <w:rFonts w:cs="Arial"/>
                <w:b/>
                <w:bCs/>
                <w:kern w:val="32"/>
                <w:szCs w:val="22"/>
                <w:lang w:eastAsia="en-US"/>
              </w:rPr>
              <w:t>Party</w:t>
            </w:r>
          </w:p>
        </w:tc>
        <w:tc>
          <w:tcPr>
            <w:tcW w:w="7592" w:type="dxa"/>
            <w:shd w:val="clear" w:color="auto" w:fill="9CC2E5" w:themeFill="accent1" w:themeFillTint="99"/>
          </w:tcPr>
          <w:p w14:paraId="51A6BBEC" w14:textId="77777777" w:rsidR="000256D0" w:rsidRPr="00D508A8" w:rsidRDefault="000256D0" w:rsidP="00846F97">
            <w:pPr>
              <w:spacing w:line="240" w:lineRule="auto"/>
              <w:rPr>
                <w:rFonts w:cs="Arial"/>
                <w:b/>
                <w:bCs/>
                <w:kern w:val="32"/>
                <w:szCs w:val="22"/>
                <w:lang w:eastAsia="en-US"/>
              </w:rPr>
            </w:pPr>
            <w:r w:rsidRPr="00D508A8">
              <w:rPr>
                <w:rFonts w:cs="Arial"/>
                <w:b/>
                <w:bCs/>
                <w:kern w:val="32"/>
                <w:szCs w:val="22"/>
                <w:lang w:eastAsia="en-US"/>
              </w:rPr>
              <w:t>Key responsibilities</w:t>
            </w:r>
          </w:p>
        </w:tc>
      </w:tr>
      <w:tr w:rsidR="000256D0" w:rsidRPr="005A6741" w14:paraId="17004D96" w14:textId="77777777" w:rsidTr="00F8405F">
        <w:tc>
          <w:tcPr>
            <w:tcW w:w="2268" w:type="dxa"/>
            <w:tcBorders>
              <w:bottom w:val="single" w:sz="4" w:space="0" w:color="auto"/>
            </w:tcBorders>
          </w:tcPr>
          <w:p w14:paraId="5F272BC9" w14:textId="77777777" w:rsidR="000256D0" w:rsidRPr="005A6741" w:rsidRDefault="000256D0" w:rsidP="00846F97">
            <w:pPr>
              <w:spacing w:line="240" w:lineRule="auto"/>
              <w:rPr>
                <w:rFonts w:cs="Arial"/>
                <w:b/>
                <w:bCs/>
                <w:kern w:val="32"/>
                <w:szCs w:val="22"/>
                <w:lang w:eastAsia="en-US"/>
              </w:rPr>
            </w:pPr>
          </w:p>
          <w:p w14:paraId="7CC7A438" w14:textId="77777777" w:rsidR="000256D0" w:rsidRPr="005A6741" w:rsidRDefault="0014551F" w:rsidP="00846F97">
            <w:pPr>
              <w:spacing w:line="240" w:lineRule="auto"/>
              <w:jc w:val="left"/>
              <w:rPr>
                <w:rFonts w:cs="Arial"/>
                <w:b/>
              </w:rPr>
            </w:pPr>
            <w:r>
              <w:rPr>
                <w:rFonts w:cs="Arial"/>
                <w:bCs/>
                <w:kern w:val="32"/>
                <w:sz w:val="20"/>
                <w:szCs w:val="20"/>
                <w:lang w:eastAsia="en-US"/>
              </w:rPr>
              <w:t xml:space="preserve">NEL CCG </w:t>
            </w:r>
            <w:r w:rsidR="000256D0" w:rsidRPr="00846F97">
              <w:rPr>
                <w:rFonts w:cs="Arial"/>
                <w:bCs/>
                <w:kern w:val="32"/>
                <w:sz w:val="20"/>
                <w:szCs w:val="20"/>
                <w:lang w:eastAsia="en-US"/>
              </w:rPr>
              <w:t>NHS Continuing Healthcare funding, care package procurement</w:t>
            </w:r>
          </w:p>
        </w:tc>
        <w:tc>
          <w:tcPr>
            <w:tcW w:w="7592" w:type="dxa"/>
            <w:tcBorders>
              <w:bottom w:val="single" w:sz="4" w:space="0" w:color="auto"/>
            </w:tcBorders>
          </w:tcPr>
          <w:p w14:paraId="11F3EF42" w14:textId="77777777" w:rsidR="00251340" w:rsidRPr="00D64B1C" w:rsidRDefault="00251340" w:rsidP="007806AC">
            <w:pPr>
              <w:pStyle w:val="NoSpacing"/>
              <w:numPr>
                <w:ilvl w:val="0"/>
                <w:numId w:val="49"/>
              </w:numPr>
              <w:spacing w:line="240" w:lineRule="auto"/>
              <w:ind w:left="284" w:hanging="284"/>
              <w:jc w:val="left"/>
              <w:rPr>
                <w:rFonts w:cs="Arial"/>
              </w:rPr>
            </w:pPr>
            <w:r w:rsidRPr="00D64B1C">
              <w:rPr>
                <w:rFonts w:cs="Arial"/>
              </w:rPr>
              <w:t>Ensure that an appropriate selection of packages including PHB, are offered to each client/patient based on their individual care plan</w:t>
            </w:r>
          </w:p>
          <w:p w14:paraId="562E74A4" w14:textId="77777777" w:rsidR="00251340" w:rsidRPr="00D64B1C" w:rsidRDefault="00251340" w:rsidP="007806AC">
            <w:pPr>
              <w:pStyle w:val="NoSpacing"/>
              <w:numPr>
                <w:ilvl w:val="0"/>
                <w:numId w:val="49"/>
              </w:numPr>
              <w:spacing w:line="240" w:lineRule="auto"/>
              <w:ind w:left="284" w:hanging="284"/>
              <w:jc w:val="left"/>
              <w:rPr>
                <w:rFonts w:cs="Arial"/>
              </w:rPr>
            </w:pPr>
            <w:r w:rsidRPr="00D64B1C">
              <w:rPr>
                <w:rFonts w:cs="Arial"/>
              </w:rPr>
              <w:t>Review all complex packages of care ensuring value for money has been considered</w:t>
            </w:r>
          </w:p>
          <w:p w14:paraId="4F3DA439" w14:textId="77777777" w:rsidR="00251340" w:rsidRPr="00D64B1C" w:rsidRDefault="00251340" w:rsidP="007806AC">
            <w:pPr>
              <w:pStyle w:val="NoSpacing"/>
              <w:numPr>
                <w:ilvl w:val="0"/>
                <w:numId w:val="49"/>
              </w:numPr>
              <w:spacing w:line="240" w:lineRule="auto"/>
              <w:ind w:left="284" w:hanging="284"/>
              <w:jc w:val="left"/>
              <w:rPr>
                <w:rFonts w:cs="Arial"/>
              </w:rPr>
            </w:pPr>
            <w:r w:rsidRPr="00D64B1C">
              <w:rPr>
                <w:rFonts w:cs="Arial"/>
              </w:rPr>
              <w:t>Seek assurances that providers are fit and proper organisations to provide care</w:t>
            </w:r>
          </w:p>
          <w:p w14:paraId="0AD20716" w14:textId="77777777" w:rsidR="000256D0" w:rsidRPr="00D64B1C" w:rsidRDefault="00251340" w:rsidP="007806AC">
            <w:pPr>
              <w:pStyle w:val="NoSpacing"/>
              <w:numPr>
                <w:ilvl w:val="0"/>
                <w:numId w:val="49"/>
              </w:numPr>
              <w:spacing w:line="240" w:lineRule="auto"/>
              <w:ind w:left="284" w:hanging="284"/>
              <w:jc w:val="left"/>
              <w:rPr>
                <w:rFonts w:cs="Arial"/>
              </w:rPr>
            </w:pPr>
            <w:r w:rsidRPr="00D64B1C">
              <w:rPr>
                <w:rFonts w:cs="Arial"/>
              </w:rPr>
              <w:t>Ensure that a database of clients and packages is maintained</w:t>
            </w:r>
          </w:p>
          <w:p w14:paraId="36668B71" w14:textId="77777777" w:rsidR="00846F97" w:rsidRPr="005A6741" w:rsidRDefault="00846F97" w:rsidP="00846F97">
            <w:pPr>
              <w:pStyle w:val="NoSpacing"/>
              <w:spacing w:line="240" w:lineRule="auto"/>
              <w:jc w:val="left"/>
              <w:rPr>
                <w:rFonts w:ascii="Arial" w:hAnsi="Arial" w:cs="Arial"/>
              </w:rPr>
            </w:pPr>
          </w:p>
        </w:tc>
      </w:tr>
      <w:tr w:rsidR="000256D0" w:rsidRPr="005A6741" w14:paraId="6CEC9277" w14:textId="77777777" w:rsidTr="00F8405F">
        <w:tc>
          <w:tcPr>
            <w:tcW w:w="2268" w:type="dxa"/>
            <w:tcBorders>
              <w:left w:val="nil"/>
              <w:right w:val="nil"/>
            </w:tcBorders>
          </w:tcPr>
          <w:p w14:paraId="01AD3DAD" w14:textId="77777777" w:rsidR="000256D0" w:rsidRPr="005A6741" w:rsidRDefault="000256D0" w:rsidP="00846F97">
            <w:pPr>
              <w:spacing w:line="240" w:lineRule="auto"/>
              <w:rPr>
                <w:rFonts w:cs="Arial"/>
                <w:b/>
                <w:bCs/>
                <w:kern w:val="32"/>
                <w:szCs w:val="22"/>
                <w:lang w:eastAsia="en-US"/>
              </w:rPr>
            </w:pPr>
          </w:p>
        </w:tc>
        <w:tc>
          <w:tcPr>
            <w:tcW w:w="7592" w:type="dxa"/>
            <w:tcBorders>
              <w:left w:val="nil"/>
              <w:right w:val="nil"/>
            </w:tcBorders>
          </w:tcPr>
          <w:p w14:paraId="6E23C294" w14:textId="77777777" w:rsidR="000256D0" w:rsidRPr="005A6741" w:rsidRDefault="000256D0" w:rsidP="00846F97">
            <w:pPr>
              <w:pStyle w:val="NoSpacing"/>
              <w:spacing w:line="240" w:lineRule="auto"/>
              <w:jc w:val="left"/>
              <w:rPr>
                <w:rFonts w:ascii="Arial" w:hAnsi="Arial" w:cs="Arial"/>
              </w:rPr>
            </w:pPr>
          </w:p>
        </w:tc>
      </w:tr>
      <w:tr w:rsidR="000256D0" w:rsidRPr="005A6741" w14:paraId="659A9F71" w14:textId="77777777" w:rsidTr="00F8405F">
        <w:tc>
          <w:tcPr>
            <w:tcW w:w="2268" w:type="dxa"/>
            <w:shd w:val="clear" w:color="auto" w:fill="9CC2E5" w:themeFill="accent1" w:themeFillTint="99"/>
          </w:tcPr>
          <w:p w14:paraId="4ABBC2F6" w14:textId="77777777" w:rsidR="000256D0" w:rsidRPr="00D508A8" w:rsidRDefault="000256D0" w:rsidP="00846F97">
            <w:pPr>
              <w:spacing w:line="240" w:lineRule="auto"/>
              <w:rPr>
                <w:rFonts w:cs="Arial"/>
                <w:b/>
                <w:bCs/>
                <w:kern w:val="32"/>
                <w:szCs w:val="22"/>
                <w:lang w:eastAsia="en-US"/>
              </w:rPr>
            </w:pPr>
            <w:r w:rsidRPr="00D508A8">
              <w:rPr>
                <w:rFonts w:cs="Arial"/>
                <w:b/>
                <w:bCs/>
                <w:kern w:val="32"/>
                <w:szCs w:val="22"/>
                <w:lang w:eastAsia="en-US"/>
              </w:rPr>
              <w:t>Party</w:t>
            </w:r>
          </w:p>
        </w:tc>
        <w:tc>
          <w:tcPr>
            <w:tcW w:w="7592" w:type="dxa"/>
            <w:shd w:val="clear" w:color="auto" w:fill="9CC2E5" w:themeFill="accent1" w:themeFillTint="99"/>
          </w:tcPr>
          <w:p w14:paraId="20332838" w14:textId="77777777" w:rsidR="000256D0" w:rsidRPr="00D508A8" w:rsidRDefault="000256D0" w:rsidP="00846F97">
            <w:pPr>
              <w:spacing w:line="240" w:lineRule="auto"/>
              <w:rPr>
                <w:rFonts w:cs="Arial"/>
                <w:b/>
                <w:bCs/>
                <w:kern w:val="32"/>
                <w:szCs w:val="22"/>
                <w:lang w:eastAsia="en-US"/>
              </w:rPr>
            </w:pPr>
            <w:r w:rsidRPr="00D508A8">
              <w:rPr>
                <w:rFonts w:cs="Arial"/>
                <w:b/>
                <w:bCs/>
                <w:kern w:val="32"/>
                <w:szCs w:val="22"/>
                <w:lang w:eastAsia="en-US"/>
              </w:rPr>
              <w:t>Key responsibilities</w:t>
            </w:r>
          </w:p>
        </w:tc>
      </w:tr>
      <w:tr w:rsidR="000256D0" w:rsidRPr="005A6741" w14:paraId="088A10F8" w14:textId="77777777" w:rsidTr="00EA7A50">
        <w:tc>
          <w:tcPr>
            <w:tcW w:w="2268" w:type="dxa"/>
          </w:tcPr>
          <w:p w14:paraId="77E3AD9B" w14:textId="77777777" w:rsidR="000256D0" w:rsidRPr="005A6741" w:rsidRDefault="000256D0" w:rsidP="00846F97">
            <w:pPr>
              <w:spacing w:line="240" w:lineRule="auto"/>
              <w:rPr>
                <w:rFonts w:cs="Arial"/>
                <w:b/>
                <w:bCs/>
                <w:kern w:val="32"/>
                <w:szCs w:val="22"/>
                <w:lang w:eastAsia="en-US"/>
              </w:rPr>
            </w:pPr>
          </w:p>
          <w:p w14:paraId="7488014D" w14:textId="77777777" w:rsidR="000256D0" w:rsidRPr="005A6741" w:rsidRDefault="0014551F" w:rsidP="00846F97">
            <w:pPr>
              <w:spacing w:line="240" w:lineRule="auto"/>
              <w:jc w:val="left"/>
              <w:rPr>
                <w:rFonts w:cs="Arial"/>
                <w:b/>
              </w:rPr>
            </w:pPr>
            <w:r>
              <w:rPr>
                <w:rFonts w:cs="Arial"/>
                <w:bCs/>
                <w:kern w:val="32"/>
                <w:sz w:val="20"/>
                <w:szCs w:val="20"/>
                <w:lang w:eastAsia="en-US"/>
              </w:rPr>
              <w:t xml:space="preserve">NEL CCG </w:t>
            </w:r>
            <w:r w:rsidR="000256D0" w:rsidRPr="00846F97">
              <w:rPr>
                <w:rFonts w:cs="Arial"/>
                <w:bCs/>
                <w:kern w:val="32"/>
                <w:sz w:val="20"/>
                <w:szCs w:val="20"/>
                <w:lang w:eastAsia="en-US"/>
              </w:rPr>
              <w:t>Contracts and contract monitoring</w:t>
            </w:r>
            <w:r w:rsidR="000256D0" w:rsidRPr="005A6741">
              <w:rPr>
                <w:rFonts w:cs="Arial"/>
                <w:b/>
              </w:rPr>
              <w:t xml:space="preserve"> </w:t>
            </w:r>
          </w:p>
        </w:tc>
        <w:tc>
          <w:tcPr>
            <w:tcW w:w="7592" w:type="dxa"/>
          </w:tcPr>
          <w:p w14:paraId="20A6D9B1" w14:textId="77777777" w:rsidR="000256D0" w:rsidRPr="00D64B1C" w:rsidRDefault="00251340" w:rsidP="007806AC">
            <w:pPr>
              <w:pStyle w:val="NoSpacing"/>
              <w:numPr>
                <w:ilvl w:val="0"/>
                <w:numId w:val="49"/>
              </w:numPr>
              <w:spacing w:line="240" w:lineRule="auto"/>
              <w:ind w:left="284" w:hanging="284"/>
              <w:jc w:val="left"/>
              <w:rPr>
                <w:rFonts w:cs="Arial"/>
              </w:rPr>
            </w:pPr>
            <w:r w:rsidRPr="00D64B1C">
              <w:rPr>
                <w:rFonts w:cs="Arial"/>
              </w:rPr>
              <w:t xml:space="preserve">Utilise the NEL CCG Policies for patients being placed </w:t>
            </w:r>
            <w:r w:rsidR="007806AC">
              <w:rPr>
                <w:rFonts w:cs="Arial"/>
              </w:rPr>
              <w:t xml:space="preserve">within a </w:t>
            </w:r>
            <w:r w:rsidR="002C17BA" w:rsidRPr="002C17BA">
              <w:rPr>
                <w:rFonts w:cs="Arial"/>
              </w:rPr>
              <w:t>H</w:t>
            </w:r>
            <w:r w:rsidR="007806AC" w:rsidRPr="002C17BA">
              <w:rPr>
                <w:rFonts w:cs="Arial"/>
              </w:rPr>
              <w:t xml:space="preserve">ome with </w:t>
            </w:r>
            <w:r w:rsidR="00031ABC" w:rsidRPr="002C17BA">
              <w:rPr>
                <w:rFonts w:cs="Arial"/>
              </w:rPr>
              <w:t xml:space="preserve">residential or </w:t>
            </w:r>
            <w:r w:rsidR="007806AC" w:rsidRPr="002C17BA">
              <w:rPr>
                <w:rFonts w:cs="Arial"/>
              </w:rPr>
              <w:t>nursing</w:t>
            </w:r>
            <w:r w:rsidR="00031ABC" w:rsidRPr="002C17BA">
              <w:rPr>
                <w:rFonts w:cs="Arial"/>
              </w:rPr>
              <w:t xml:space="preserve"> status</w:t>
            </w:r>
          </w:p>
          <w:p w14:paraId="3BFA1260" w14:textId="77777777" w:rsidR="00251340" w:rsidRPr="00D64B1C" w:rsidRDefault="00251340" w:rsidP="007806AC">
            <w:pPr>
              <w:pStyle w:val="NoSpacing"/>
              <w:numPr>
                <w:ilvl w:val="0"/>
                <w:numId w:val="49"/>
              </w:numPr>
              <w:spacing w:line="240" w:lineRule="auto"/>
              <w:ind w:left="284" w:hanging="284"/>
              <w:jc w:val="left"/>
              <w:rPr>
                <w:rFonts w:cs="Arial"/>
              </w:rPr>
            </w:pPr>
            <w:r w:rsidRPr="00D64B1C">
              <w:rPr>
                <w:rFonts w:cs="Arial"/>
              </w:rPr>
              <w:t>Seek assurances in all cases that the providers have CQC accreditation</w:t>
            </w:r>
          </w:p>
          <w:p w14:paraId="039FB3C3" w14:textId="77777777" w:rsidR="00251340" w:rsidRPr="00D64B1C" w:rsidRDefault="00251340" w:rsidP="007806AC">
            <w:pPr>
              <w:pStyle w:val="NoSpacing"/>
              <w:numPr>
                <w:ilvl w:val="0"/>
                <w:numId w:val="49"/>
              </w:numPr>
              <w:spacing w:line="240" w:lineRule="auto"/>
              <w:ind w:left="284" w:hanging="284"/>
              <w:jc w:val="left"/>
              <w:rPr>
                <w:rFonts w:cs="Arial"/>
              </w:rPr>
            </w:pPr>
            <w:r w:rsidRPr="00D64B1C">
              <w:rPr>
                <w:rFonts w:cs="Arial"/>
              </w:rPr>
              <w:t>Monitor the usage of Personal Health Budgets ensuring quality of provision and value for money</w:t>
            </w:r>
          </w:p>
          <w:p w14:paraId="20BFECE0" w14:textId="77777777" w:rsidR="00251340" w:rsidRPr="00D64B1C" w:rsidRDefault="00251340" w:rsidP="007806AC">
            <w:pPr>
              <w:pStyle w:val="NoSpacing"/>
              <w:numPr>
                <w:ilvl w:val="0"/>
                <w:numId w:val="49"/>
              </w:numPr>
              <w:spacing w:line="240" w:lineRule="auto"/>
              <w:ind w:left="284" w:hanging="284"/>
              <w:jc w:val="left"/>
              <w:rPr>
                <w:rFonts w:cs="Arial"/>
              </w:rPr>
            </w:pPr>
            <w:r w:rsidRPr="00D64B1C">
              <w:rPr>
                <w:rFonts w:cs="Arial"/>
              </w:rPr>
              <w:t>Develop contracts with providers that ensure high quality care delivery and value for money.</w:t>
            </w:r>
          </w:p>
          <w:p w14:paraId="7DEF0737" w14:textId="77777777" w:rsidR="00251340" w:rsidRPr="00D64B1C" w:rsidRDefault="00251340" w:rsidP="007806AC">
            <w:pPr>
              <w:pStyle w:val="NoSpacing"/>
              <w:numPr>
                <w:ilvl w:val="0"/>
                <w:numId w:val="49"/>
              </w:numPr>
              <w:spacing w:line="240" w:lineRule="auto"/>
              <w:ind w:left="284" w:hanging="284"/>
              <w:jc w:val="left"/>
              <w:rPr>
                <w:rFonts w:cs="Arial"/>
              </w:rPr>
            </w:pPr>
            <w:r w:rsidRPr="00D64B1C">
              <w:rPr>
                <w:rFonts w:cs="Arial"/>
              </w:rPr>
              <w:t>Quality monitor all contracts.</w:t>
            </w:r>
          </w:p>
          <w:p w14:paraId="55F4D1E0" w14:textId="77777777" w:rsidR="00846F97" w:rsidRPr="00D64B1C" w:rsidRDefault="00251340" w:rsidP="007806AC">
            <w:pPr>
              <w:pStyle w:val="NoSpacing"/>
              <w:numPr>
                <w:ilvl w:val="0"/>
                <w:numId w:val="49"/>
              </w:numPr>
              <w:spacing w:line="240" w:lineRule="auto"/>
              <w:ind w:left="284" w:hanging="284"/>
              <w:jc w:val="left"/>
              <w:rPr>
                <w:rFonts w:cs="Arial"/>
              </w:rPr>
            </w:pPr>
            <w:r w:rsidRPr="00D64B1C">
              <w:rPr>
                <w:rFonts w:cs="Arial"/>
              </w:rPr>
              <w:t>Annual quality audits undertaken</w:t>
            </w:r>
          </w:p>
          <w:p w14:paraId="2C2452D2" w14:textId="77777777" w:rsidR="00846F97" w:rsidRPr="005A6741" w:rsidRDefault="00846F97" w:rsidP="00846F97">
            <w:pPr>
              <w:pStyle w:val="NoSpacing"/>
              <w:spacing w:line="240" w:lineRule="auto"/>
              <w:jc w:val="left"/>
              <w:rPr>
                <w:rFonts w:ascii="Arial" w:hAnsi="Arial" w:cs="Arial"/>
              </w:rPr>
            </w:pPr>
          </w:p>
        </w:tc>
      </w:tr>
    </w:tbl>
    <w:p w14:paraId="33B9A2EE" w14:textId="77777777" w:rsidR="0004255F" w:rsidRPr="00D508A8" w:rsidRDefault="0004255F" w:rsidP="00DF68FD">
      <w:pPr>
        <w:pStyle w:val="Heading1"/>
      </w:pPr>
    </w:p>
    <w:p w14:paraId="73AC5E13" w14:textId="77777777" w:rsidR="002C17BA" w:rsidRDefault="002C17BA" w:rsidP="002C17BA"/>
    <w:p w14:paraId="36A1E209" w14:textId="77777777" w:rsidR="002C17BA" w:rsidRDefault="002C17BA" w:rsidP="002C17BA"/>
    <w:p w14:paraId="7B6932BB" w14:textId="77777777" w:rsidR="002C17BA" w:rsidRPr="002C17BA" w:rsidRDefault="002C17BA" w:rsidP="002C17BA"/>
    <w:p w14:paraId="0DCC2A5F" w14:textId="77777777" w:rsidR="004F0BD3" w:rsidRDefault="000E5B08" w:rsidP="00DF68FD">
      <w:pPr>
        <w:pStyle w:val="Heading1"/>
      </w:pPr>
      <w:bookmarkStart w:id="5" w:name="_Toc26869234"/>
      <w:r w:rsidRPr="004F0BD3">
        <w:lastRenderedPageBreak/>
        <w:t>6</w:t>
      </w:r>
      <w:r w:rsidR="00763DD5" w:rsidRPr="004F0BD3">
        <w:t>.</w:t>
      </w:r>
      <w:r w:rsidR="00763DD5" w:rsidRPr="004F0BD3">
        <w:tab/>
        <w:t>DEFINITIONS</w:t>
      </w:r>
      <w:bookmarkEnd w:id="5"/>
    </w:p>
    <w:p w14:paraId="6C822A7E" w14:textId="77777777" w:rsidR="00DF68FD" w:rsidRDefault="00DF68FD" w:rsidP="00DF68FD">
      <w:pPr>
        <w:spacing w:line="240" w:lineRule="auto"/>
        <w:rPr>
          <w:rFonts w:eastAsia="Calibri" w:cs="Arial"/>
          <w:kern w:val="0"/>
          <w:szCs w:val="22"/>
          <w:lang w:eastAsia="en-US"/>
        </w:rPr>
      </w:pPr>
    </w:p>
    <w:p w14:paraId="58A51583" w14:textId="77777777" w:rsidR="00DF68FD" w:rsidRDefault="00DF68FD" w:rsidP="002E3D50">
      <w:pPr>
        <w:spacing w:line="240" w:lineRule="auto"/>
        <w:rPr>
          <w:rFonts w:eastAsia="Calibri" w:cs="Arial"/>
          <w:kern w:val="0"/>
          <w:szCs w:val="22"/>
          <w:lang w:eastAsia="en-US"/>
        </w:rPr>
      </w:pPr>
      <w:r w:rsidRPr="00DF68FD">
        <w:rPr>
          <w:rFonts w:eastAsia="Calibri" w:cs="Arial"/>
          <w:kern w:val="0"/>
          <w:szCs w:val="22"/>
          <w:lang w:eastAsia="en-US"/>
        </w:rPr>
        <w:t>The following categories relate to packages of care that are provided to meet assessed needs. An assessment of need, which includes an assessment of healthcare needs against the NHS Continuing Healthcare Framework, is an essential starting point for determining whether the NHS ha</w:t>
      </w:r>
      <w:r w:rsidR="0014551F">
        <w:rPr>
          <w:rFonts w:eastAsia="Calibri" w:cs="Arial"/>
          <w:kern w:val="0"/>
          <w:szCs w:val="22"/>
          <w:lang w:eastAsia="en-US"/>
        </w:rPr>
        <w:t xml:space="preserve">s a responsibility to provide </w:t>
      </w:r>
      <w:r w:rsidRPr="00DF68FD">
        <w:rPr>
          <w:rFonts w:eastAsia="Calibri" w:cs="Arial"/>
          <w:kern w:val="0"/>
          <w:szCs w:val="22"/>
          <w:lang w:eastAsia="en-US"/>
        </w:rPr>
        <w:t xml:space="preserve">funding for the full package of services. The overarching criterion for eligibility for NHS Continuing Healthcare is that </w:t>
      </w:r>
      <w:r>
        <w:rPr>
          <w:rFonts w:eastAsia="Calibri" w:cs="Arial"/>
          <w:kern w:val="0"/>
          <w:szCs w:val="22"/>
          <w:lang w:eastAsia="en-US"/>
        </w:rPr>
        <w:t>if the person’s primary need (ie</w:t>
      </w:r>
      <w:r w:rsidRPr="00DF68FD">
        <w:rPr>
          <w:rFonts w:eastAsia="Calibri" w:cs="Arial"/>
          <w:kern w:val="0"/>
          <w:szCs w:val="22"/>
          <w:lang w:eastAsia="en-US"/>
        </w:rPr>
        <w:t xml:space="preserve"> the principal need  for that care) is for healthcare, because of the intensity and/or complexity and or unpredictability of his/her healthcare needs, he/she is eligible for NHS Continuing Healthcare and the NHS is responsible for funding the package of care.</w:t>
      </w:r>
    </w:p>
    <w:p w14:paraId="5037389A" w14:textId="77777777" w:rsidR="00DF68FD" w:rsidRPr="00DF68FD" w:rsidRDefault="00DF68FD" w:rsidP="00DF68FD">
      <w:pPr>
        <w:spacing w:line="240" w:lineRule="auto"/>
        <w:rPr>
          <w:rFonts w:eastAsia="Calibri" w:cs="Arial"/>
          <w:kern w:val="0"/>
          <w:szCs w:val="22"/>
          <w:lang w:eastAsia="en-US"/>
        </w:rPr>
      </w:pPr>
    </w:p>
    <w:tbl>
      <w:tblPr>
        <w:tblStyle w:val="TableGridLight"/>
        <w:tblpPr w:leftFromText="180" w:rightFromText="180" w:vertAnchor="text" w:horzAnchor="margin" w:tblpY="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2"/>
        <w:gridCol w:w="6024"/>
      </w:tblGrid>
      <w:tr w:rsidR="00DF68FD" w:rsidRPr="005A6741" w14:paraId="410E792B" w14:textId="77777777" w:rsidTr="00F8405F">
        <w:tc>
          <w:tcPr>
            <w:tcW w:w="3369" w:type="dxa"/>
          </w:tcPr>
          <w:p w14:paraId="71834901" w14:textId="77777777" w:rsidR="00DF68FD" w:rsidRPr="005A6741" w:rsidRDefault="00DF68FD" w:rsidP="003E2831">
            <w:pPr>
              <w:pStyle w:val="NoSpacing"/>
              <w:spacing w:line="240" w:lineRule="auto"/>
              <w:jc w:val="left"/>
              <w:rPr>
                <w:rFonts w:ascii="Arial" w:hAnsi="Arial" w:cs="Arial"/>
                <w:b/>
                <w:bCs/>
                <w:kern w:val="32"/>
              </w:rPr>
            </w:pPr>
            <w:r w:rsidRPr="005A6741">
              <w:rPr>
                <w:rFonts w:ascii="Arial" w:hAnsi="Arial" w:cs="Arial"/>
                <w:b/>
                <w:lang w:val="en-US"/>
              </w:rPr>
              <w:t>NHS Continuing Healthcare</w:t>
            </w:r>
            <w:r w:rsidRPr="005A6741">
              <w:rPr>
                <w:rFonts w:ascii="Arial" w:hAnsi="Arial" w:cs="Arial"/>
                <w:b/>
                <w:i/>
                <w:lang w:val="en-US"/>
              </w:rPr>
              <w:t xml:space="preserve"> </w:t>
            </w:r>
            <w:r w:rsidRPr="005A6741">
              <w:rPr>
                <w:rFonts w:ascii="Arial" w:hAnsi="Arial" w:cs="Arial"/>
                <w:b/>
                <w:lang w:val="en-US"/>
              </w:rPr>
              <w:t>(CHC)</w:t>
            </w:r>
          </w:p>
        </w:tc>
        <w:tc>
          <w:tcPr>
            <w:tcW w:w="6599" w:type="dxa"/>
          </w:tcPr>
          <w:p w14:paraId="54949C21" w14:textId="77777777" w:rsidR="00DF68FD" w:rsidRDefault="00DF68FD" w:rsidP="003E2831">
            <w:pPr>
              <w:spacing w:line="240" w:lineRule="auto"/>
              <w:rPr>
                <w:rFonts w:cs="Arial"/>
                <w:kern w:val="0"/>
                <w:szCs w:val="22"/>
                <w:lang w:val="en-US" w:eastAsia="en-US"/>
              </w:rPr>
            </w:pPr>
            <w:r w:rsidRPr="005A6741">
              <w:rPr>
                <w:rFonts w:cs="Arial"/>
                <w:kern w:val="0"/>
                <w:szCs w:val="22"/>
                <w:lang w:val="en-US" w:eastAsia="en-US"/>
              </w:rPr>
              <w:t xml:space="preserve">Is a package of care arranged and funded entirely by the NHS. It may be provided in a hospital, a hospice, a care home, a care home registered to provide nursing care or in the service user’s own home. </w:t>
            </w:r>
            <w:r w:rsidRPr="005A6741">
              <w:rPr>
                <w:rFonts w:cs="Arial"/>
                <w:b/>
                <w:kern w:val="0"/>
                <w:szCs w:val="22"/>
                <w:lang w:val="en-US" w:eastAsia="en-US"/>
              </w:rPr>
              <w:t xml:space="preserve"> </w:t>
            </w:r>
            <w:r w:rsidRPr="005A6741">
              <w:rPr>
                <w:rFonts w:cs="Arial"/>
                <w:kern w:val="0"/>
                <w:szCs w:val="22"/>
                <w:lang w:val="en-US" w:eastAsia="en-US"/>
              </w:rPr>
              <w:t>Whatever the setting for the care, the NHS meets the full cost of the health and personal care needed and provided and is free of charge to the individual</w:t>
            </w:r>
            <w:r w:rsidR="003E2831">
              <w:rPr>
                <w:rFonts w:cs="Arial"/>
                <w:kern w:val="0"/>
                <w:szCs w:val="22"/>
                <w:lang w:val="en-US" w:eastAsia="en-US"/>
              </w:rPr>
              <w:t>. National guidance can be accessed through the link below:</w:t>
            </w:r>
          </w:p>
          <w:p w14:paraId="64368610" w14:textId="77777777" w:rsidR="003E2831" w:rsidRPr="00D508A8" w:rsidRDefault="004641F0" w:rsidP="003E2831">
            <w:pPr>
              <w:spacing w:line="240" w:lineRule="auto"/>
              <w:jc w:val="left"/>
              <w:rPr>
                <w:rFonts w:cs="Arial"/>
                <w:color w:val="2E74B5" w:themeColor="accent1" w:themeShade="BF"/>
                <w:kern w:val="0"/>
                <w:szCs w:val="22"/>
                <w:lang w:val="en-US" w:eastAsia="en-US"/>
              </w:rPr>
            </w:pPr>
            <w:hyperlink r:id="rId12" w:history="1">
              <w:r w:rsidR="003E2831" w:rsidRPr="00D508A8">
                <w:rPr>
                  <w:rStyle w:val="Hyperlink"/>
                  <w:rFonts w:cs="Arial"/>
                  <w:color w:val="2E74B5" w:themeColor="accent1" w:themeShade="BF"/>
                  <w:kern w:val="0"/>
                  <w:szCs w:val="22"/>
                </w:rPr>
                <w:t>https://www.gov.uk/government/publications/national-framework-for-nhs-continuing-healthcare-and-nhs-funded-nursing-care</w:t>
              </w:r>
            </w:hyperlink>
          </w:p>
          <w:p w14:paraId="1AC1F91E" w14:textId="77777777" w:rsidR="00CB60B0" w:rsidRDefault="00CB60B0" w:rsidP="003E2831">
            <w:pPr>
              <w:spacing w:line="240" w:lineRule="auto"/>
              <w:rPr>
                <w:rFonts w:cs="Arial"/>
                <w:kern w:val="0"/>
                <w:szCs w:val="22"/>
                <w:lang w:val="en-US" w:eastAsia="en-US"/>
              </w:rPr>
            </w:pPr>
          </w:p>
          <w:p w14:paraId="1E7EBD8E" w14:textId="77777777" w:rsidR="00DF68FD" w:rsidRPr="005A6741" w:rsidRDefault="00DF68FD" w:rsidP="003E2831">
            <w:pPr>
              <w:spacing w:line="240" w:lineRule="auto"/>
              <w:rPr>
                <w:rFonts w:cs="Arial"/>
                <w:kern w:val="0"/>
                <w:szCs w:val="22"/>
                <w:lang w:val="en-US" w:eastAsia="en-US"/>
              </w:rPr>
            </w:pPr>
            <w:r w:rsidRPr="005A6741">
              <w:rPr>
                <w:rFonts w:cs="Arial"/>
                <w:kern w:val="0"/>
                <w:szCs w:val="22"/>
                <w:lang w:val="en-US" w:eastAsia="en-US"/>
              </w:rPr>
              <w:t>People eligible for CHC will be subject to regular review. This may mean that services/support provided may be increased or decreased and is dependent on assessed need.</w:t>
            </w:r>
          </w:p>
          <w:p w14:paraId="7F3AB943" w14:textId="77777777" w:rsidR="00DF68FD" w:rsidRPr="005A6741" w:rsidRDefault="00DF68FD" w:rsidP="003E2831">
            <w:pPr>
              <w:spacing w:line="240" w:lineRule="auto"/>
              <w:rPr>
                <w:rFonts w:cs="Arial"/>
                <w:kern w:val="0"/>
                <w:szCs w:val="22"/>
                <w:lang w:val="en-US" w:eastAsia="en-US"/>
              </w:rPr>
            </w:pPr>
          </w:p>
          <w:p w14:paraId="0AE246E4" w14:textId="77777777" w:rsidR="00DF68FD" w:rsidRPr="005A6741" w:rsidRDefault="00DF68FD" w:rsidP="003E2831">
            <w:pPr>
              <w:spacing w:line="240" w:lineRule="auto"/>
              <w:rPr>
                <w:rFonts w:cs="Arial"/>
                <w:kern w:val="0"/>
                <w:szCs w:val="22"/>
                <w:lang w:val="en-US" w:eastAsia="en-US"/>
              </w:rPr>
            </w:pPr>
            <w:r w:rsidRPr="005A6741">
              <w:rPr>
                <w:rFonts w:cs="Arial"/>
                <w:kern w:val="0"/>
                <w:szCs w:val="22"/>
                <w:lang w:val="en-US" w:eastAsia="en-US"/>
              </w:rPr>
              <w:t>CHC funding does not mean that this is a lifetime provision and in some cases following review a person will no longer remain eligible. In those cases the Local Authority may supp</w:t>
            </w:r>
            <w:r w:rsidR="0014551F">
              <w:rPr>
                <w:rFonts w:cs="Arial"/>
                <w:kern w:val="0"/>
                <w:szCs w:val="22"/>
                <w:lang w:val="en-US" w:eastAsia="en-US"/>
              </w:rPr>
              <w:t>ort the provision of care. The L</w:t>
            </w:r>
            <w:r w:rsidRPr="005A6741">
              <w:rPr>
                <w:rFonts w:cs="Arial"/>
                <w:kern w:val="0"/>
                <w:szCs w:val="22"/>
                <w:lang w:val="en-US" w:eastAsia="en-US"/>
              </w:rPr>
              <w:t>ocal Authority may undertake a financial assessment in regard to eligibility and there may be a cost associated with a Local Authority package of care.</w:t>
            </w:r>
          </w:p>
          <w:p w14:paraId="25C63C92" w14:textId="77777777" w:rsidR="00DF68FD" w:rsidRPr="005A6741" w:rsidRDefault="00DF68FD" w:rsidP="003E2831">
            <w:pPr>
              <w:spacing w:line="240" w:lineRule="auto"/>
              <w:rPr>
                <w:rFonts w:cs="Arial"/>
                <w:kern w:val="0"/>
                <w:szCs w:val="22"/>
                <w:lang w:val="en-US" w:eastAsia="en-US"/>
              </w:rPr>
            </w:pPr>
          </w:p>
        </w:tc>
      </w:tr>
      <w:tr w:rsidR="00DF68FD" w:rsidRPr="005A6741" w14:paraId="4FB03B6D" w14:textId="77777777" w:rsidTr="00F8405F">
        <w:tc>
          <w:tcPr>
            <w:tcW w:w="3369" w:type="dxa"/>
          </w:tcPr>
          <w:p w14:paraId="634B2F13" w14:textId="77777777" w:rsidR="00DF68FD" w:rsidRPr="005A6741" w:rsidRDefault="00DF68FD" w:rsidP="003E2831">
            <w:pPr>
              <w:pStyle w:val="NoSpacing"/>
              <w:spacing w:line="240" w:lineRule="auto"/>
              <w:jc w:val="left"/>
              <w:rPr>
                <w:rFonts w:ascii="Arial" w:hAnsi="Arial" w:cs="Arial"/>
                <w:b/>
                <w:lang w:val="en-US"/>
              </w:rPr>
            </w:pPr>
            <w:r w:rsidRPr="005A6741">
              <w:rPr>
                <w:rFonts w:ascii="Arial" w:hAnsi="Arial" w:cs="Arial"/>
                <w:b/>
                <w:lang w:val="en-US"/>
              </w:rPr>
              <w:t>Community (Continuing) Care</w:t>
            </w:r>
          </w:p>
          <w:p w14:paraId="5659DE8B" w14:textId="77777777" w:rsidR="00DF68FD" w:rsidRPr="005A6741" w:rsidRDefault="00DF68FD" w:rsidP="003E2831">
            <w:pPr>
              <w:pStyle w:val="NoSpacing"/>
              <w:spacing w:line="240" w:lineRule="auto"/>
              <w:jc w:val="left"/>
              <w:rPr>
                <w:rFonts w:ascii="Arial" w:hAnsi="Arial" w:cs="Arial"/>
                <w:b/>
                <w:bCs/>
                <w:kern w:val="32"/>
              </w:rPr>
            </w:pPr>
            <w:r w:rsidRPr="005A6741">
              <w:rPr>
                <w:rFonts w:ascii="Arial" w:hAnsi="Arial" w:cs="Arial"/>
                <w:b/>
                <w:lang w:val="en-US"/>
              </w:rPr>
              <w:t>(sometimes referred to as “long term care”)</w:t>
            </w:r>
          </w:p>
        </w:tc>
        <w:tc>
          <w:tcPr>
            <w:tcW w:w="6599" w:type="dxa"/>
          </w:tcPr>
          <w:p w14:paraId="50BB50E3" w14:textId="77777777" w:rsidR="00DF68FD" w:rsidRPr="005A6741" w:rsidRDefault="00DF68FD" w:rsidP="003E2831">
            <w:pPr>
              <w:spacing w:line="240" w:lineRule="auto"/>
              <w:rPr>
                <w:rFonts w:cs="Arial"/>
                <w:kern w:val="0"/>
                <w:szCs w:val="22"/>
                <w:lang w:val="en-US" w:eastAsia="en-US"/>
              </w:rPr>
            </w:pPr>
            <w:r w:rsidRPr="005A6741">
              <w:rPr>
                <w:rFonts w:cs="Arial"/>
                <w:kern w:val="0"/>
                <w:szCs w:val="22"/>
                <w:lang w:val="en-US" w:eastAsia="en-US"/>
              </w:rPr>
              <w:t xml:space="preserve">Is a general term that describes the care some people need over an extended period of time as a result of a disability, accident or </w:t>
            </w:r>
            <w:proofErr w:type="gramStart"/>
            <w:r w:rsidRPr="005A6741">
              <w:rPr>
                <w:rFonts w:cs="Arial"/>
                <w:kern w:val="0"/>
                <w:szCs w:val="22"/>
                <w:lang w:val="en-US" w:eastAsia="en-US"/>
              </w:rPr>
              <w:t>illness.</w:t>
            </w:r>
            <w:proofErr w:type="gramEnd"/>
            <w:r w:rsidRPr="005A6741">
              <w:rPr>
                <w:rFonts w:cs="Arial"/>
                <w:kern w:val="0"/>
                <w:szCs w:val="22"/>
                <w:lang w:val="en-US" w:eastAsia="en-US"/>
              </w:rPr>
              <w:t xml:space="preserve"> The care is provided to address physical and/or mental health needs, and may require the services of the NHS and/or Local Authority. It can be provided in a range of settings from a hospital to a care home (as registered under the Care Standards Act 2000) and includes the service user’s own home.</w:t>
            </w:r>
          </w:p>
          <w:p w14:paraId="3D1AFEDD" w14:textId="77777777" w:rsidR="00550ECB" w:rsidRPr="005A6741" w:rsidRDefault="00550ECB" w:rsidP="003E2831">
            <w:pPr>
              <w:spacing w:line="240" w:lineRule="auto"/>
              <w:rPr>
                <w:rFonts w:cs="Arial"/>
                <w:kern w:val="0"/>
                <w:szCs w:val="22"/>
                <w:lang w:val="en-US" w:eastAsia="en-US"/>
              </w:rPr>
            </w:pPr>
          </w:p>
        </w:tc>
      </w:tr>
      <w:tr w:rsidR="00DF68FD" w:rsidRPr="005A6741" w14:paraId="3C839000" w14:textId="77777777" w:rsidTr="00F8405F">
        <w:tc>
          <w:tcPr>
            <w:tcW w:w="3369" w:type="dxa"/>
          </w:tcPr>
          <w:p w14:paraId="36E4A7F4" w14:textId="77777777" w:rsidR="00DF68FD" w:rsidRPr="005A6741" w:rsidRDefault="00DF68FD" w:rsidP="003E2831">
            <w:pPr>
              <w:spacing w:line="240" w:lineRule="auto"/>
              <w:jc w:val="left"/>
              <w:rPr>
                <w:rFonts w:cs="Arial"/>
                <w:b/>
                <w:bCs/>
                <w:color w:val="0070C0"/>
                <w:kern w:val="32"/>
                <w:szCs w:val="22"/>
                <w:lang w:eastAsia="en-US"/>
              </w:rPr>
            </w:pPr>
            <w:r w:rsidRPr="005A6741">
              <w:rPr>
                <w:rFonts w:cs="Arial"/>
                <w:b/>
                <w:color w:val="0070C0"/>
                <w:kern w:val="0"/>
                <w:szCs w:val="22"/>
                <w:lang w:val="en-US" w:eastAsia="en-US"/>
              </w:rPr>
              <w:t>Continuing Care must be distinguished from:</w:t>
            </w:r>
          </w:p>
        </w:tc>
        <w:tc>
          <w:tcPr>
            <w:tcW w:w="6599" w:type="dxa"/>
          </w:tcPr>
          <w:p w14:paraId="7D0C0FEE" w14:textId="77777777" w:rsidR="00DF68FD" w:rsidRDefault="00DF68FD" w:rsidP="003E2831">
            <w:pPr>
              <w:spacing w:line="240" w:lineRule="auto"/>
              <w:rPr>
                <w:rFonts w:cs="Arial"/>
                <w:b/>
                <w:bCs/>
                <w:kern w:val="32"/>
                <w:szCs w:val="22"/>
                <w:lang w:eastAsia="en-US"/>
              </w:rPr>
            </w:pPr>
          </w:p>
          <w:p w14:paraId="52CC2AED" w14:textId="77777777" w:rsidR="003E2831" w:rsidRDefault="003E2831" w:rsidP="003E2831">
            <w:pPr>
              <w:spacing w:line="240" w:lineRule="auto"/>
              <w:rPr>
                <w:rFonts w:cs="Arial"/>
                <w:b/>
                <w:bCs/>
                <w:kern w:val="32"/>
                <w:szCs w:val="22"/>
                <w:lang w:eastAsia="en-US"/>
              </w:rPr>
            </w:pPr>
          </w:p>
          <w:p w14:paraId="7D979D89" w14:textId="77777777" w:rsidR="003E2831" w:rsidRPr="005A6741" w:rsidRDefault="003E2831" w:rsidP="003E2831">
            <w:pPr>
              <w:spacing w:line="240" w:lineRule="auto"/>
              <w:rPr>
                <w:rFonts w:cs="Arial"/>
                <w:b/>
                <w:bCs/>
                <w:kern w:val="32"/>
                <w:szCs w:val="22"/>
                <w:lang w:eastAsia="en-US"/>
              </w:rPr>
            </w:pPr>
          </w:p>
        </w:tc>
      </w:tr>
      <w:tr w:rsidR="00DF68FD" w:rsidRPr="005A6741" w14:paraId="1B1F8998" w14:textId="77777777" w:rsidTr="00F8405F">
        <w:tc>
          <w:tcPr>
            <w:tcW w:w="3369" w:type="dxa"/>
          </w:tcPr>
          <w:p w14:paraId="1E3813F6" w14:textId="77777777" w:rsidR="00DF68FD" w:rsidRPr="005A6741" w:rsidRDefault="00DF68FD" w:rsidP="003E2831">
            <w:pPr>
              <w:pStyle w:val="NoSpacing"/>
              <w:spacing w:line="240" w:lineRule="auto"/>
              <w:jc w:val="left"/>
              <w:rPr>
                <w:rFonts w:cs="Arial"/>
                <w:b/>
                <w:bCs/>
                <w:kern w:val="32"/>
              </w:rPr>
            </w:pPr>
            <w:r w:rsidRPr="005A6741">
              <w:rPr>
                <w:rFonts w:ascii="Arial" w:hAnsi="Arial" w:cs="Arial"/>
                <w:b/>
                <w:lang w:val="en-US"/>
              </w:rPr>
              <w:t>Intermediate care</w:t>
            </w:r>
          </w:p>
        </w:tc>
        <w:tc>
          <w:tcPr>
            <w:tcW w:w="6599" w:type="dxa"/>
          </w:tcPr>
          <w:p w14:paraId="6862948A" w14:textId="77777777" w:rsidR="00DF68FD" w:rsidRDefault="00DF68FD" w:rsidP="00550ECB">
            <w:pPr>
              <w:spacing w:line="240" w:lineRule="auto"/>
              <w:rPr>
                <w:lang w:val="en-US"/>
              </w:rPr>
            </w:pPr>
            <w:r w:rsidRPr="00550ECB">
              <w:rPr>
                <w:rFonts w:cs="Arial"/>
                <w:kern w:val="0"/>
                <w:szCs w:val="22"/>
                <w:lang w:val="en-US" w:eastAsia="en-US"/>
              </w:rPr>
              <w:t>This has specific rehabilitative or recuperative objectives, and is provided for a time-limited period,</w:t>
            </w:r>
            <w:r w:rsidR="00550ECB" w:rsidRPr="00550ECB">
              <w:rPr>
                <w:rFonts w:cs="Arial"/>
                <w:kern w:val="0"/>
                <w:szCs w:val="22"/>
                <w:lang w:val="en-US" w:eastAsia="en-US"/>
              </w:rPr>
              <w:t xml:space="preserve"> usually no more than 6 weeks.</w:t>
            </w:r>
          </w:p>
          <w:p w14:paraId="28E9599C" w14:textId="77777777" w:rsidR="00550ECB" w:rsidRPr="00550ECB" w:rsidRDefault="00550ECB" w:rsidP="003E2831">
            <w:pPr>
              <w:spacing w:line="240" w:lineRule="auto"/>
              <w:rPr>
                <w:rFonts w:cs="Arial"/>
                <w:kern w:val="0"/>
                <w:szCs w:val="22"/>
                <w:lang w:val="en-US" w:eastAsia="en-US"/>
              </w:rPr>
            </w:pPr>
          </w:p>
        </w:tc>
      </w:tr>
      <w:tr w:rsidR="00DF68FD" w:rsidRPr="005A6741" w14:paraId="6E2A2FD5" w14:textId="77777777" w:rsidTr="00F8405F">
        <w:tc>
          <w:tcPr>
            <w:tcW w:w="3369" w:type="dxa"/>
          </w:tcPr>
          <w:p w14:paraId="23EE507B" w14:textId="77777777" w:rsidR="00DF68FD" w:rsidRPr="005A6741" w:rsidRDefault="00DF68FD" w:rsidP="003E2831">
            <w:pPr>
              <w:pStyle w:val="NoSpacing"/>
              <w:spacing w:line="240" w:lineRule="auto"/>
              <w:jc w:val="left"/>
              <w:rPr>
                <w:rFonts w:cs="Arial"/>
                <w:b/>
                <w:bCs/>
                <w:kern w:val="32"/>
              </w:rPr>
            </w:pPr>
            <w:r w:rsidRPr="005A6741">
              <w:rPr>
                <w:rFonts w:ascii="Arial" w:hAnsi="Arial" w:cs="Arial"/>
                <w:b/>
                <w:lang w:val="en-US"/>
              </w:rPr>
              <w:lastRenderedPageBreak/>
              <w:t>Interim (Transitional/ temporary) funded periods of assessment</w:t>
            </w:r>
          </w:p>
        </w:tc>
        <w:tc>
          <w:tcPr>
            <w:tcW w:w="6599" w:type="dxa"/>
          </w:tcPr>
          <w:p w14:paraId="0892445F" w14:textId="7A09C168" w:rsidR="00DF68FD" w:rsidRDefault="00DF68FD" w:rsidP="003E2831">
            <w:pPr>
              <w:spacing w:line="240" w:lineRule="auto"/>
              <w:rPr>
                <w:rFonts w:cs="Arial"/>
                <w:kern w:val="0"/>
                <w:szCs w:val="22"/>
                <w:lang w:val="en-US" w:eastAsia="en-US"/>
              </w:rPr>
            </w:pPr>
            <w:r w:rsidRPr="005A6741">
              <w:rPr>
                <w:rFonts w:cs="Arial"/>
                <w:kern w:val="0"/>
                <w:szCs w:val="22"/>
                <w:lang w:val="en-US" w:eastAsia="en-US"/>
              </w:rPr>
              <w:t xml:space="preserve">This is a period of care provided and funded by the CCG, usually in a nursing home/care home setting or a person’s own home, discharged whose </w:t>
            </w:r>
            <w:proofErr w:type="gramStart"/>
            <w:r w:rsidRPr="005A6741">
              <w:rPr>
                <w:rFonts w:cs="Arial"/>
                <w:kern w:val="0"/>
                <w:szCs w:val="22"/>
                <w:lang w:val="en-US" w:eastAsia="en-US"/>
              </w:rPr>
              <w:t>long term</w:t>
            </w:r>
            <w:proofErr w:type="gramEnd"/>
            <w:r w:rsidRPr="005A6741">
              <w:rPr>
                <w:rFonts w:cs="Arial"/>
                <w:kern w:val="0"/>
                <w:szCs w:val="22"/>
                <w:lang w:val="en-US" w:eastAsia="en-US"/>
              </w:rPr>
              <w:t xml:space="preserve"> care needs are not clear when they are “fit for transfer” from a hospital but are not appropriate for rehabilitation. Interim funding care arrangements have been implemented by the CCG to prevent delays in discharging patients waiting for a CHC </w:t>
            </w:r>
            <w:r w:rsidR="00BA65E9">
              <w:rPr>
                <w:rFonts w:cs="Arial"/>
                <w:kern w:val="0"/>
                <w:szCs w:val="22"/>
                <w:lang w:val="en-US" w:eastAsia="en-US"/>
              </w:rPr>
              <w:t xml:space="preserve">Checklist/DST/Fast Track </w:t>
            </w:r>
            <w:r w:rsidRPr="005A6741">
              <w:rPr>
                <w:rFonts w:cs="Arial"/>
                <w:kern w:val="0"/>
                <w:szCs w:val="22"/>
                <w:lang w:val="en-US" w:eastAsia="en-US"/>
              </w:rPr>
              <w:t>assessment. These packages of care will be reviewed within 28 days of the placement/care being placed, and it is at that point that the MDT will assess, using the principles and guidance laid dow</w:t>
            </w:r>
            <w:r w:rsidR="005600BE">
              <w:rPr>
                <w:rFonts w:cs="Arial"/>
                <w:kern w:val="0"/>
                <w:szCs w:val="22"/>
                <w:lang w:val="en-US" w:eastAsia="en-US"/>
              </w:rPr>
              <w:t>n in the National Framework 2018</w:t>
            </w:r>
            <w:r w:rsidRPr="005A6741">
              <w:rPr>
                <w:rFonts w:cs="Arial"/>
                <w:kern w:val="0"/>
                <w:szCs w:val="22"/>
                <w:lang w:val="en-US" w:eastAsia="en-US"/>
              </w:rPr>
              <w:t>, and make recommendation by further assessment of a checklist</w:t>
            </w:r>
            <w:r w:rsidR="00BA65E9">
              <w:rPr>
                <w:rFonts w:cs="Arial"/>
                <w:kern w:val="0"/>
                <w:szCs w:val="22"/>
                <w:lang w:val="en-US" w:eastAsia="en-US"/>
              </w:rPr>
              <w:t xml:space="preserve"> or </w:t>
            </w:r>
            <w:r w:rsidRPr="005A6741">
              <w:rPr>
                <w:rFonts w:cs="Arial"/>
                <w:kern w:val="0"/>
                <w:szCs w:val="22"/>
                <w:lang w:val="en-US" w:eastAsia="en-US"/>
              </w:rPr>
              <w:t>DST</w:t>
            </w:r>
            <w:r w:rsidR="00BA65E9">
              <w:rPr>
                <w:rFonts w:cs="Arial"/>
                <w:kern w:val="0"/>
                <w:szCs w:val="22"/>
                <w:lang w:val="en-US" w:eastAsia="en-US"/>
              </w:rPr>
              <w:t>/Fast Track</w:t>
            </w:r>
            <w:r w:rsidRPr="005A6741">
              <w:rPr>
                <w:rFonts w:cs="Arial"/>
                <w:kern w:val="0"/>
                <w:szCs w:val="22"/>
                <w:lang w:val="en-US" w:eastAsia="en-US"/>
              </w:rPr>
              <w:t xml:space="preserve"> in regard to eligibility for NHS Continuing Healthcare to </w:t>
            </w:r>
            <w:proofErr w:type="gramStart"/>
            <w:r w:rsidRPr="005A6741">
              <w:rPr>
                <w:rFonts w:cs="Arial"/>
                <w:kern w:val="0"/>
                <w:szCs w:val="22"/>
                <w:lang w:val="en-US" w:eastAsia="en-US"/>
              </w:rPr>
              <w:t>North East</w:t>
            </w:r>
            <w:proofErr w:type="gramEnd"/>
            <w:r w:rsidRPr="005A6741">
              <w:rPr>
                <w:rFonts w:cs="Arial"/>
                <w:kern w:val="0"/>
                <w:szCs w:val="22"/>
                <w:lang w:val="en-US" w:eastAsia="en-US"/>
              </w:rPr>
              <w:t xml:space="preserve"> Lincolnshire Clinical Commissioning Group.</w:t>
            </w:r>
          </w:p>
          <w:p w14:paraId="6E55A123" w14:textId="77777777" w:rsidR="005600BE" w:rsidRDefault="005600BE" w:rsidP="003E2831">
            <w:pPr>
              <w:spacing w:line="240" w:lineRule="auto"/>
              <w:rPr>
                <w:rFonts w:cs="Arial"/>
                <w:kern w:val="0"/>
                <w:szCs w:val="22"/>
                <w:lang w:val="en-US" w:eastAsia="en-US"/>
              </w:rPr>
            </w:pPr>
          </w:p>
          <w:p w14:paraId="6613B77F" w14:textId="77777777" w:rsidR="005600BE" w:rsidRPr="005A6741" w:rsidRDefault="005600BE" w:rsidP="003E2831">
            <w:pPr>
              <w:spacing w:line="240" w:lineRule="auto"/>
              <w:rPr>
                <w:rFonts w:cs="Arial"/>
                <w:kern w:val="0"/>
                <w:szCs w:val="22"/>
                <w:lang w:val="en-US" w:eastAsia="en-US"/>
              </w:rPr>
            </w:pPr>
            <w:r>
              <w:rPr>
                <w:rFonts w:cs="Arial"/>
                <w:kern w:val="0"/>
                <w:szCs w:val="22"/>
                <w:lang w:val="en-US" w:eastAsia="en-US"/>
              </w:rPr>
              <w:t>Practitioners must also follow the Local Guidance for NHS Interim Care Funding requests.</w:t>
            </w:r>
          </w:p>
          <w:p w14:paraId="1D735FAD" w14:textId="77777777" w:rsidR="00DF68FD" w:rsidRPr="005A6741" w:rsidRDefault="00DF68FD" w:rsidP="003E2831">
            <w:pPr>
              <w:spacing w:line="240" w:lineRule="auto"/>
              <w:rPr>
                <w:rFonts w:cs="Arial"/>
                <w:b/>
                <w:bCs/>
                <w:kern w:val="32"/>
                <w:szCs w:val="22"/>
                <w:lang w:eastAsia="en-US"/>
              </w:rPr>
            </w:pPr>
          </w:p>
        </w:tc>
      </w:tr>
      <w:tr w:rsidR="00DF68FD" w:rsidRPr="005A6741" w14:paraId="220472FA" w14:textId="77777777" w:rsidTr="00F8405F">
        <w:tc>
          <w:tcPr>
            <w:tcW w:w="3369" w:type="dxa"/>
          </w:tcPr>
          <w:p w14:paraId="637A033A" w14:textId="77777777" w:rsidR="00DF68FD" w:rsidRPr="005A6741" w:rsidRDefault="00DF68FD" w:rsidP="003E2831">
            <w:pPr>
              <w:pStyle w:val="NoSpacing"/>
              <w:spacing w:line="240" w:lineRule="auto"/>
              <w:jc w:val="left"/>
              <w:rPr>
                <w:rFonts w:ascii="Arial" w:hAnsi="Arial" w:cs="Arial"/>
                <w:b/>
                <w:lang w:val="en-US"/>
              </w:rPr>
            </w:pPr>
            <w:r w:rsidRPr="005A6741">
              <w:rPr>
                <w:rFonts w:ascii="Arial" w:hAnsi="Arial" w:cs="Arial"/>
                <w:b/>
                <w:lang w:val="en-US"/>
              </w:rPr>
              <w:t>Multidisciplinary/multi-agency</w:t>
            </w:r>
          </w:p>
        </w:tc>
        <w:tc>
          <w:tcPr>
            <w:tcW w:w="6599" w:type="dxa"/>
          </w:tcPr>
          <w:p w14:paraId="5ADAA3DB" w14:textId="77777777" w:rsidR="00550ECB" w:rsidRDefault="00DF68FD" w:rsidP="003E2831">
            <w:pPr>
              <w:spacing w:line="240" w:lineRule="auto"/>
              <w:rPr>
                <w:rFonts w:cs="Arial"/>
                <w:kern w:val="0"/>
                <w:szCs w:val="22"/>
                <w:lang w:val="en-US" w:eastAsia="en-US"/>
              </w:rPr>
            </w:pPr>
            <w:r w:rsidRPr="005A6741">
              <w:rPr>
                <w:rFonts w:cs="Arial"/>
                <w:kern w:val="0"/>
                <w:szCs w:val="22"/>
                <w:lang w:val="en-US" w:eastAsia="en-US"/>
              </w:rPr>
              <w:t>These are assessments that are also essential to determine eligibility</w:t>
            </w:r>
            <w:r w:rsidR="00550ECB">
              <w:rPr>
                <w:rFonts w:cs="Arial"/>
                <w:kern w:val="0"/>
                <w:szCs w:val="22"/>
                <w:lang w:val="en-US" w:eastAsia="en-US"/>
              </w:rPr>
              <w:t xml:space="preserve"> for other categories of care.</w:t>
            </w:r>
            <w:r w:rsidR="00550ECB">
              <w:rPr>
                <w:rFonts w:cs="Arial"/>
                <w:kern w:val="0"/>
                <w:szCs w:val="22"/>
                <w:lang w:val="en-US" w:eastAsia="en-US"/>
              </w:rPr>
              <w:cr/>
            </w:r>
          </w:p>
          <w:p w14:paraId="10CCF5F5" w14:textId="77777777" w:rsidR="002C17BA" w:rsidRPr="005A6741" w:rsidRDefault="002C17BA" w:rsidP="003E2831">
            <w:pPr>
              <w:spacing w:line="240" w:lineRule="auto"/>
              <w:rPr>
                <w:rFonts w:cs="Arial"/>
                <w:kern w:val="0"/>
                <w:szCs w:val="22"/>
                <w:lang w:val="en-US" w:eastAsia="en-US"/>
              </w:rPr>
            </w:pPr>
          </w:p>
        </w:tc>
      </w:tr>
      <w:tr w:rsidR="00DF68FD" w:rsidRPr="005A6741" w14:paraId="78E2AC03" w14:textId="77777777" w:rsidTr="00F8405F">
        <w:tc>
          <w:tcPr>
            <w:tcW w:w="3369" w:type="dxa"/>
          </w:tcPr>
          <w:p w14:paraId="1FBB926D" w14:textId="77777777" w:rsidR="00DF68FD" w:rsidRPr="005A6741" w:rsidRDefault="00DF68FD" w:rsidP="003E2831">
            <w:pPr>
              <w:pStyle w:val="NoSpacing"/>
              <w:spacing w:line="240" w:lineRule="auto"/>
              <w:jc w:val="left"/>
              <w:rPr>
                <w:rFonts w:cs="Arial"/>
                <w:b/>
                <w:bCs/>
                <w:kern w:val="0"/>
                <w:lang w:val="en-US"/>
              </w:rPr>
            </w:pPr>
            <w:r w:rsidRPr="005A6741">
              <w:rPr>
                <w:rFonts w:ascii="Arial" w:hAnsi="Arial" w:cs="Arial"/>
                <w:b/>
                <w:lang w:val="en-US"/>
              </w:rPr>
              <w:t>Continuing health and social care (Integrated/joint packages of care)</w:t>
            </w:r>
          </w:p>
        </w:tc>
        <w:tc>
          <w:tcPr>
            <w:tcW w:w="6599" w:type="dxa"/>
          </w:tcPr>
          <w:p w14:paraId="79ED1C83" w14:textId="77777777" w:rsidR="00DF68FD" w:rsidRPr="000A4364" w:rsidRDefault="00DF68FD" w:rsidP="003E2831">
            <w:pPr>
              <w:spacing w:line="240" w:lineRule="auto"/>
              <w:rPr>
                <w:rFonts w:cs="Arial"/>
                <w:i/>
                <w:color w:val="2F5496" w:themeColor="accent5" w:themeShade="BF"/>
                <w:kern w:val="0"/>
                <w:szCs w:val="22"/>
                <w:lang w:eastAsia="en-US"/>
              </w:rPr>
            </w:pPr>
            <w:r w:rsidRPr="005A6741">
              <w:rPr>
                <w:rFonts w:cs="Arial"/>
                <w:kern w:val="0"/>
                <w:szCs w:val="22"/>
                <w:lang w:eastAsia="en-US"/>
              </w:rPr>
              <w:t xml:space="preserve">Describes a package of care that involves services from both the NHS and Social Services Departments where the primary need is </w:t>
            </w:r>
            <w:r w:rsidRPr="005A6741">
              <w:rPr>
                <w:rFonts w:cs="Arial"/>
                <w:b/>
                <w:kern w:val="0"/>
                <w:szCs w:val="22"/>
                <w:lang w:eastAsia="en-US"/>
              </w:rPr>
              <w:t>not</w:t>
            </w:r>
            <w:r w:rsidRPr="005A6741">
              <w:rPr>
                <w:rFonts w:cs="Arial"/>
                <w:kern w:val="0"/>
                <w:szCs w:val="22"/>
                <w:lang w:eastAsia="en-US"/>
              </w:rPr>
              <w:t xml:space="preserve"> for healthcare but is for accommodation and personal/social care. </w:t>
            </w:r>
            <w:r w:rsidRPr="003E2831">
              <w:rPr>
                <w:rFonts w:cs="Arial"/>
                <w:kern w:val="0"/>
                <w:szCs w:val="22"/>
                <w:lang w:eastAsia="en-US"/>
              </w:rPr>
              <w:t xml:space="preserve">The healthcare needs are described as being ancillary and incidental (secondary) to the needs for personal and social care, but may be part funded by the NHS as a joint commissioning arrangement or health needs may be provided by through the door services of a GP or District Nurse. </w:t>
            </w:r>
            <w:r w:rsidR="00832171" w:rsidRPr="000A4364">
              <w:rPr>
                <w:rFonts w:cs="Arial"/>
                <w:color w:val="2F5496" w:themeColor="accent5" w:themeShade="BF"/>
                <w:kern w:val="0"/>
                <w:szCs w:val="22"/>
                <w:lang w:eastAsia="en-US"/>
              </w:rPr>
              <w:t xml:space="preserve"> See guidance in Appendix 1</w:t>
            </w:r>
          </w:p>
          <w:p w14:paraId="186BC148" w14:textId="77777777" w:rsidR="00DF68FD" w:rsidRPr="005A6741" w:rsidRDefault="00DF68FD" w:rsidP="003E2831">
            <w:pPr>
              <w:spacing w:line="240" w:lineRule="auto"/>
              <w:rPr>
                <w:rFonts w:cs="Arial"/>
                <w:kern w:val="0"/>
                <w:szCs w:val="22"/>
                <w:lang w:val="en-US" w:eastAsia="en-US"/>
              </w:rPr>
            </w:pPr>
          </w:p>
        </w:tc>
      </w:tr>
      <w:tr w:rsidR="00DF68FD" w:rsidRPr="005A6741" w14:paraId="311BBC58" w14:textId="77777777" w:rsidTr="00F8405F">
        <w:trPr>
          <w:trHeight w:val="605"/>
        </w:trPr>
        <w:tc>
          <w:tcPr>
            <w:tcW w:w="3369" w:type="dxa"/>
          </w:tcPr>
          <w:p w14:paraId="2AEDEC85" w14:textId="77777777" w:rsidR="00DF68FD" w:rsidRPr="005A6741" w:rsidRDefault="00DF68FD" w:rsidP="003E2831">
            <w:pPr>
              <w:pStyle w:val="NoSpacing"/>
              <w:spacing w:line="240" w:lineRule="auto"/>
              <w:jc w:val="left"/>
              <w:rPr>
                <w:rFonts w:cs="Arial"/>
                <w:b/>
                <w:kern w:val="0"/>
              </w:rPr>
            </w:pPr>
            <w:r w:rsidRPr="005A6741">
              <w:rPr>
                <w:rFonts w:ascii="Arial" w:hAnsi="Arial" w:cs="Arial"/>
                <w:b/>
                <w:lang w:val="en-US"/>
              </w:rPr>
              <w:t>Transition planning</w:t>
            </w:r>
          </w:p>
        </w:tc>
        <w:tc>
          <w:tcPr>
            <w:tcW w:w="6599" w:type="dxa"/>
          </w:tcPr>
          <w:p w14:paraId="049786DB" w14:textId="77777777" w:rsidR="00DF68FD" w:rsidRPr="00A94290" w:rsidRDefault="00DF68FD" w:rsidP="003E2831">
            <w:pPr>
              <w:spacing w:line="240" w:lineRule="auto"/>
              <w:rPr>
                <w:rFonts w:cs="Arial"/>
                <w:color w:val="2F5496" w:themeColor="accent5" w:themeShade="BF"/>
                <w:kern w:val="0"/>
                <w:szCs w:val="22"/>
                <w:lang w:eastAsia="en-US"/>
              </w:rPr>
            </w:pPr>
            <w:r w:rsidRPr="005A6741">
              <w:rPr>
                <w:rFonts w:cs="Arial"/>
                <w:kern w:val="0"/>
                <w:szCs w:val="22"/>
                <w:lang w:eastAsia="en-US"/>
              </w:rPr>
              <w:t>Describes a process of eligibility and assessment for 14 to 18 year old children.</w:t>
            </w:r>
            <w:r w:rsidR="004578C2">
              <w:rPr>
                <w:rFonts w:cs="Arial"/>
                <w:kern w:val="0"/>
                <w:szCs w:val="22"/>
                <w:lang w:eastAsia="en-US"/>
              </w:rPr>
              <w:t xml:space="preserve">  </w:t>
            </w:r>
            <w:r w:rsidR="00832171" w:rsidRPr="00A94290">
              <w:rPr>
                <w:rFonts w:cs="Arial"/>
                <w:color w:val="2F5496" w:themeColor="accent5" w:themeShade="BF"/>
                <w:kern w:val="0"/>
                <w:szCs w:val="22"/>
                <w:lang w:eastAsia="en-US"/>
              </w:rPr>
              <w:t>See Appendix 3</w:t>
            </w:r>
          </w:p>
          <w:p w14:paraId="441D3F8C" w14:textId="77777777" w:rsidR="00DF68FD" w:rsidRPr="005A6741" w:rsidRDefault="00DF68FD" w:rsidP="003E2831">
            <w:pPr>
              <w:spacing w:line="240" w:lineRule="auto"/>
              <w:rPr>
                <w:rFonts w:cs="Arial"/>
                <w:kern w:val="0"/>
                <w:szCs w:val="22"/>
                <w:lang w:eastAsia="en-US"/>
              </w:rPr>
            </w:pPr>
          </w:p>
        </w:tc>
      </w:tr>
    </w:tbl>
    <w:p w14:paraId="101557AF" w14:textId="77777777" w:rsidR="004F0BD3" w:rsidRPr="004F0BD3" w:rsidRDefault="000E5B08" w:rsidP="004F0BD3">
      <w:pPr>
        <w:pStyle w:val="Heading1"/>
      </w:pPr>
      <w:bookmarkStart w:id="6" w:name="_Toc26869235"/>
      <w:r w:rsidRPr="004F0BD3">
        <w:t>7</w:t>
      </w:r>
      <w:r w:rsidR="004A0C47" w:rsidRPr="004F0BD3">
        <w:t>.  PRINCIPLES</w:t>
      </w:r>
      <w:bookmarkEnd w:id="6"/>
    </w:p>
    <w:p w14:paraId="1DD194A4" w14:textId="77777777" w:rsidR="004F0BD3" w:rsidRDefault="004F0BD3" w:rsidP="00A56CD2">
      <w:pPr>
        <w:autoSpaceDE w:val="0"/>
        <w:autoSpaceDN w:val="0"/>
        <w:adjustRightInd w:val="0"/>
        <w:spacing w:line="276" w:lineRule="auto"/>
        <w:rPr>
          <w:rFonts w:cs="Arial"/>
          <w:color w:val="000000"/>
          <w:kern w:val="0"/>
          <w:szCs w:val="22"/>
        </w:rPr>
      </w:pPr>
    </w:p>
    <w:p w14:paraId="0C4016AC" w14:textId="77777777" w:rsidR="004A0C47" w:rsidRPr="00A868F0" w:rsidRDefault="004A0C47" w:rsidP="002E3D50">
      <w:pPr>
        <w:autoSpaceDE w:val="0"/>
        <w:autoSpaceDN w:val="0"/>
        <w:adjustRightInd w:val="0"/>
        <w:spacing w:line="240" w:lineRule="auto"/>
        <w:rPr>
          <w:rFonts w:cs="Arial"/>
          <w:color w:val="000000"/>
          <w:kern w:val="0"/>
          <w:szCs w:val="22"/>
        </w:rPr>
      </w:pPr>
      <w:r w:rsidRPr="00A868F0">
        <w:rPr>
          <w:rFonts w:cs="Arial"/>
          <w:color w:val="000000"/>
          <w:kern w:val="0"/>
          <w:szCs w:val="22"/>
        </w:rPr>
        <w:t>Continuing Care means care provided over an extended period</w:t>
      </w:r>
      <w:r>
        <w:rPr>
          <w:rFonts w:cs="Arial"/>
          <w:color w:val="000000"/>
          <w:kern w:val="0"/>
          <w:szCs w:val="22"/>
        </w:rPr>
        <w:t xml:space="preserve"> of time to a person aged 18 or </w:t>
      </w:r>
      <w:r w:rsidRPr="00A868F0">
        <w:rPr>
          <w:rFonts w:cs="Arial"/>
          <w:color w:val="000000"/>
          <w:kern w:val="0"/>
          <w:szCs w:val="22"/>
        </w:rPr>
        <w:t xml:space="preserve">over to meet physical or mental health needs which have arisen as a result of disability, accident or illness. NHS Continuing Healthcare means a package of continuing care arranged and funded solely by the NHS. (National Framework for NHS Continuing Healthcare &amp; Funded-Nursing </w:t>
      </w:r>
      <w:r w:rsidR="00481F08">
        <w:rPr>
          <w:rFonts w:cs="Arial"/>
          <w:color w:val="000000"/>
          <w:kern w:val="0"/>
          <w:szCs w:val="22"/>
        </w:rPr>
        <w:t>Care, Department of Health, 2018</w:t>
      </w:r>
      <w:r w:rsidRPr="00A868F0">
        <w:rPr>
          <w:rFonts w:cs="Arial"/>
          <w:color w:val="000000"/>
          <w:kern w:val="0"/>
          <w:szCs w:val="22"/>
        </w:rPr>
        <w:t xml:space="preserve">) </w:t>
      </w:r>
    </w:p>
    <w:p w14:paraId="11B275B7" w14:textId="77777777" w:rsidR="004A0C47" w:rsidRPr="00A868F0" w:rsidRDefault="004A0C47" w:rsidP="002E3D50">
      <w:pPr>
        <w:autoSpaceDE w:val="0"/>
        <w:autoSpaceDN w:val="0"/>
        <w:adjustRightInd w:val="0"/>
        <w:spacing w:line="240" w:lineRule="auto"/>
        <w:rPr>
          <w:rFonts w:cs="Arial"/>
          <w:color w:val="000000"/>
          <w:kern w:val="0"/>
          <w:szCs w:val="22"/>
        </w:rPr>
      </w:pPr>
    </w:p>
    <w:p w14:paraId="065AADEC" w14:textId="77777777" w:rsidR="004A0C47" w:rsidRPr="00A868F0" w:rsidRDefault="004A0C47" w:rsidP="002E3D50">
      <w:pPr>
        <w:autoSpaceDE w:val="0"/>
        <w:autoSpaceDN w:val="0"/>
        <w:adjustRightInd w:val="0"/>
        <w:spacing w:line="240" w:lineRule="auto"/>
        <w:rPr>
          <w:rFonts w:cs="Arial"/>
          <w:kern w:val="0"/>
          <w:szCs w:val="22"/>
        </w:rPr>
      </w:pPr>
      <w:r w:rsidRPr="00A868F0">
        <w:rPr>
          <w:rFonts w:cs="Arial"/>
          <w:kern w:val="0"/>
          <w:szCs w:val="22"/>
        </w:rPr>
        <w:t xml:space="preserve">An individual who needs “continuing care” may require services from NHS bodies and/or from Local </w:t>
      </w:r>
      <w:r w:rsidRPr="00A56CD2">
        <w:rPr>
          <w:rFonts w:cs="Arial"/>
          <w:color w:val="000000"/>
          <w:kern w:val="0"/>
          <w:szCs w:val="22"/>
        </w:rPr>
        <w:t>Authorities</w:t>
      </w:r>
      <w:r w:rsidRPr="00A868F0">
        <w:rPr>
          <w:rFonts w:cs="Arial"/>
          <w:kern w:val="0"/>
          <w:szCs w:val="22"/>
        </w:rPr>
        <w:t>. Clinical Commissioning Groups have responsibility to ensure that the assessment of eligibility for NHS Continuing Healthcare takes place within 28 days from the completion of the Continuing Healthcare Checklist and in a timely and consistent fashion.</w:t>
      </w:r>
    </w:p>
    <w:p w14:paraId="5FCEF24D" w14:textId="77777777" w:rsidR="004A0C47" w:rsidRPr="00A868F0" w:rsidRDefault="004A0C47" w:rsidP="002E3D50">
      <w:pPr>
        <w:autoSpaceDE w:val="0"/>
        <w:autoSpaceDN w:val="0"/>
        <w:adjustRightInd w:val="0"/>
        <w:spacing w:line="240" w:lineRule="auto"/>
        <w:rPr>
          <w:rFonts w:cs="Arial"/>
          <w:kern w:val="0"/>
          <w:szCs w:val="22"/>
        </w:rPr>
      </w:pPr>
    </w:p>
    <w:p w14:paraId="21325D53" w14:textId="77777777" w:rsidR="004A0C47" w:rsidRPr="00A868F0" w:rsidRDefault="004A0C47" w:rsidP="002E3D50">
      <w:pPr>
        <w:autoSpaceDE w:val="0"/>
        <w:autoSpaceDN w:val="0"/>
        <w:adjustRightInd w:val="0"/>
        <w:spacing w:line="240" w:lineRule="auto"/>
        <w:rPr>
          <w:rFonts w:cs="Arial"/>
          <w:kern w:val="0"/>
          <w:szCs w:val="22"/>
        </w:rPr>
      </w:pPr>
      <w:r w:rsidRPr="00A868F0">
        <w:rPr>
          <w:rFonts w:cs="Arial"/>
          <w:kern w:val="0"/>
          <w:szCs w:val="22"/>
        </w:rPr>
        <w:t>N</w:t>
      </w:r>
      <w:r w:rsidR="00A56CD2">
        <w:rPr>
          <w:rFonts w:cs="Arial"/>
          <w:kern w:val="0"/>
          <w:szCs w:val="22"/>
        </w:rPr>
        <w:t xml:space="preserve">orth </w:t>
      </w:r>
      <w:r w:rsidRPr="00A868F0">
        <w:rPr>
          <w:rFonts w:cs="Arial"/>
          <w:kern w:val="0"/>
          <w:szCs w:val="22"/>
        </w:rPr>
        <w:t>E</w:t>
      </w:r>
      <w:r w:rsidR="00A56CD2">
        <w:rPr>
          <w:rFonts w:cs="Arial"/>
          <w:kern w:val="0"/>
          <w:szCs w:val="22"/>
        </w:rPr>
        <w:t xml:space="preserve">ast </w:t>
      </w:r>
      <w:r w:rsidRPr="00A868F0">
        <w:rPr>
          <w:rFonts w:cs="Arial"/>
          <w:kern w:val="0"/>
          <w:szCs w:val="22"/>
        </w:rPr>
        <w:t>L</w:t>
      </w:r>
      <w:r w:rsidR="00A56CD2">
        <w:rPr>
          <w:rFonts w:cs="Arial"/>
          <w:kern w:val="0"/>
          <w:szCs w:val="22"/>
        </w:rPr>
        <w:t>incolnshire</w:t>
      </w:r>
      <w:r w:rsidRPr="00A868F0">
        <w:rPr>
          <w:rFonts w:cs="Arial"/>
          <w:kern w:val="0"/>
          <w:szCs w:val="22"/>
        </w:rPr>
        <w:t xml:space="preserve"> Clinical Commissioning Group and N</w:t>
      </w:r>
      <w:r w:rsidR="00A56CD2">
        <w:rPr>
          <w:rFonts w:cs="Arial"/>
          <w:kern w:val="0"/>
          <w:szCs w:val="22"/>
        </w:rPr>
        <w:t xml:space="preserve">orth </w:t>
      </w:r>
      <w:r w:rsidRPr="00A868F0">
        <w:rPr>
          <w:rFonts w:cs="Arial"/>
          <w:kern w:val="0"/>
          <w:szCs w:val="22"/>
        </w:rPr>
        <w:t>E</w:t>
      </w:r>
      <w:r w:rsidR="00A56CD2">
        <w:rPr>
          <w:rFonts w:cs="Arial"/>
          <w:kern w:val="0"/>
          <w:szCs w:val="22"/>
        </w:rPr>
        <w:t xml:space="preserve">ast </w:t>
      </w:r>
      <w:r w:rsidRPr="00A868F0">
        <w:rPr>
          <w:rFonts w:cs="Arial"/>
          <w:kern w:val="0"/>
          <w:szCs w:val="22"/>
        </w:rPr>
        <w:t>L</w:t>
      </w:r>
      <w:r w:rsidR="00A56CD2">
        <w:rPr>
          <w:rFonts w:cs="Arial"/>
          <w:kern w:val="0"/>
          <w:szCs w:val="22"/>
        </w:rPr>
        <w:t>incolnshire</w:t>
      </w:r>
      <w:r w:rsidRPr="00A868F0">
        <w:rPr>
          <w:rFonts w:cs="Arial"/>
          <w:kern w:val="0"/>
          <w:szCs w:val="22"/>
        </w:rPr>
        <w:t xml:space="preserve"> Local Authority are </w:t>
      </w:r>
      <w:r w:rsidRPr="00A56CD2">
        <w:rPr>
          <w:rFonts w:cs="Arial"/>
          <w:color w:val="000000"/>
          <w:kern w:val="0"/>
          <w:szCs w:val="22"/>
        </w:rPr>
        <w:t>committed</w:t>
      </w:r>
      <w:r w:rsidRPr="00A868F0">
        <w:rPr>
          <w:rFonts w:cs="Arial"/>
          <w:kern w:val="0"/>
          <w:szCs w:val="22"/>
        </w:rPr>
        <w:t xml:space="preserve"> to working in partnership to achieve these timeframes, together with local provider services. </w:t>
      </w:r>
    </w:p>
    <w:p w14:paraId="2432FB77" w14:textId="77777777" w:rsidR="004A0C47" w:rsidRPr="00A868F0" w:rsidRDefault="004A0C47" w:rsidP="002E3D50">
      <w:pPr>
        <w:autoSpaceDE w:val="0"/>
        <w:autoSpaceDN w:val="0"/>
        <w:adjustRightInd w:val="0"/>
        <w:spacing w:line="240" w:lineRule="auto"/>
        <w:rPr>
          <w:rFonts w:cs="Arial"/>
          <w:kern w:val="0"/>
          <w:szCs w:val="22"/>
        </w:rPr>
      </w:pPr>
    </w:p>
    <w:p w14:paraId="52E5D48E" w14:textId="77777777" w:rsidR="004A0C47" w:rsidRPr="00A868F0" w:rsidRDefault="004A0C47" w:rsidP="00550ECB">
      <w:pPr>
        <w:autoSpaceDE w:val="0"/>
        <w:autoSpaceDN w:val="0"/>
        <w:adjustRightInd w:val="0"/>
        <w:spacing w:line="240" w:lineRule="auto"/>
        <w:rPr>
          <w:rFonts w:cs="Arial"/>
          <w:kern w:val="0"/>
          <w:szCs w:val="22"/>
        </w:rPr>
      </w:pPr>
      <w:r w:rsidRPr="00A868F0">
        <w:rPr>
          <w:rFonts w:cs="Arial"/>
          <w:kern w:val="0"/>
          <w:szCs w:val="22"/>
        </w:rPr>
        <w:t xml:space="preserve">The principles underlying this policy are that the residents of North East Lincolnshire have fair and equitable access to NHS funded continuing healthcare. These principles are:- </w:t>
      </w:r>
    </w:p>
    <w:p w14:paraId="56181AA2" w14:textId="77777777" w:rsidR="004A0C47" w:rsidRPr="00A868F0" w:rsidRDefault="004A0C47" w:rsidP="002E3D50">
      <w:pPr>
        <w:numPr>
          <w:ilvl w:val="0"/>
          <w:numId w:val="1"/>
        </w:numPr>
        <w:autoSpaceDE w:val="0"/>
        <w:autoSpaceDN w:val="0"/>
        <w:adjustRightInd w:val="0"/>
        <w:spacing w:line="240" w:lineRule="auto"/>
        <w:ind w:left="284" w:hanging="284"/>
        <w:rPr>
          <w:rFonts w:cs="Arial"/>
          <w:kern w:val="0"/>
          <w:szCs w:val="22"/>
        </w:rPr>
      </w:pPr>
      <w:r w:rsidRPr="00A868F0">
        <w:rPr>
          <w:rFonts w:cs="Arial"/>
          <w:kern w:val="0"/>
          <w:szCs w:val="22"/>
        </w:rPr>
        <w:t>The individual’s informed consent will be obtained before st</w:t>
      </w:r>
      <w:r w:rsidR="004F0BD3">
        <w:rPr>
          <w:rFonts w:cs="Arial"/>
          <w:kern w:val="0"/>
          <w:szCs w:val="22"/>
        </w:rPr>
        <w:t xml:space="preserve">arting the process to determine </w:t>
      </w:r>
      <w:r w:rsidRPr="00A868F0">
        <w:rPr>
          <w:rFonts w:cs="Arial"/>
          <w:kern w:val="0"/>
          <w:szCs w:val="22"/>
        </w:rPr>
        <w:t xml:space="preserve">eligibility for NHS Continuing Healthcare </w:t>
      </w:r>
    </w:p>
    <w:p w14:paraId="75C2AAE4" w14:textId="77777777" w:rsidR="004A0C47" w:rsidRPr="00A868F0" w:rsidRDefault="004A0C47" w:rsidP="002E3D50">
      <w:pPr>
        <w:autoSpaceDE w:val="0"/>
        <w:autoSpaceDN w:val="0"/>
        <w:adjustRightInd w:val="0"/>
        <w:spacing w:line="240" w:lineRule="auto"/>
        <w:rPr>
          <w:rFonts w:cs="Arial"/>
          <w:kern w:val="0"/>
          <w:szCs w:val="22"/>
        </w:rPr>
      </w:pPr>
    </w:p>
    <w:p w14:paraId="4822D833" w14:textId="77777777" w:rsidR="004A0C47" w:rsidRPr="00A868F0" w:rsidRDefault="004A0C47" w:rsidP="00CE3AE1">
      <w:pPr>
        <w:numPr>
          <w:ilvl w:val="0"/>
          <w:numId w:val="1"/>
        </w:numPr>
        <w:autoSpaceDE w:val="0"/>
        <w:autoSpaceDN w:val="0"/>
        <w:adjustRightInd w:val="0"/>
        <w:spacing w:line="240" w:lineRule="auto"/>
        <w:ind w:left="284" w:hanging="284"/>
        <w:rPr>
          <w:rFonts w:cs="Arial"/>
          <w:kern w:val="0"/>
          <w:szCs w:val="22"/>
        </w:rPr>
      </w:pPr>
      <w:r w:rsidRPr="00A868F0">
        <w:rPr>
          <w:rFonts w:cs="Arial"/>
          <w:kern w:val="0"/>
          <w:szCs w:val="22"/>
        </w:rPr>
        <w:t>If the individual lacks the mental capacity either to refuse or conse</w:t>
      </w:r>
      <w:r w:rsidR="004F0BD3">
        <w:rPr>
          <w:rFonts w:cs="Arial"/>
          <w:kern w:val="0"/>
          <w:szCs w:val="22"/>
        </w:rPr>
        <w:t xml:space="preserve">nt, a ‘best interests’ decision </w:t>
      </w:r>
      <w:r w:rsidRPr="00A868F0">
        <w:rPr>
          <w:rFonts w:cs="Arial"/>
          <w:kern w:val="0"/>
          <w:szCs w:val="22"/>
        </w:rPr>
        <w:t xml:space="preserve">should be taken and recorded in line with the Mental Capacity Act 2005 as to whether to proceed with assessment for eligibility for NHS Continuing Healthcare. A third party cannot give or refuse consent for an assessment of eligibility for NHS Continuing Healthcare on behalf of a person who lacks capacity, unless they have valid and applicable Lasting Power of Attorney for Welfare or have been appointed as a Deputy by the Court of Protection for Welfare only. </w:t>
      </w:r>
    </w:p>
    <w:p w14:paraId="7BCD019A" w14:textId="77777777" w:rsidR="004A0C47" w:rsidRPr="00A868F0" w:rsidRDefault="004A0C47" w:rsidP="00A56CD2">
      <w:pPr>
        <w:autoSpaceDE w:val="0"/>
        <w:autoSpaceDN w:val="0"/>
        <w:adjustRightInd w:val="0"/>
        <w:spacing w:line="276" w:lineRule="auto"/>
        <w:ind w:firstLine="720"/>
        <w:rPr>
          <w:rFonts w:cs="Arial"/>
          <w:kern w:val="0"/>
          <w:szCs w:val="22"/>
        </w:rPr>
      </w:pPr>
    </w:p>
    <w:p w14:paraId="02C3726D" w14:textId="77777777" w:rsidR="004A0C47" w:rsidRPr="00A868F0" w:rsidRDefault="004A0C47" w:rsidP="00CE3AE1">
      <w:pPr>
        <w:numPr>
          <w:ilvl w:val="0"/>
          <w:numId w:val="1"/>
        </w:numPr>
        <w:autoSpaceDE w:val="0"/>
        <w:autoSpaceDN w:val="0"/>
        <w:adjustRightInd w:val="0"/>
        <w:spacing w:line="240" w:lineRule="auto"/>
        <w:ind w:left="284" w:hanging="284"/>
        <w:rPr>
          <w:rFonts w:cs="Arial"/>
          <w:kern w:val="0"/>
          <w:szCs w:val="22"/>
        </w:rPr>
      </w:pPr>
      <w:r w:rsidRPr="00A868F0">
        <w:rPr>
          <w:rFonts w:cs="Arial"/>
          <w:kern w:val="0"/>
          <w:szCs w:val="22"/>
        </w:rPr>
        <w:t xml:space="preserve">Health and social care professionals will work in partnership with </w:t>
      </w:r>
      <w:r w:rsidR="004F0BD3">
        <w:rPr>
          <w:rFonts w:cs="Arial"/>
          <w:kern w:val="0"/>
          <w:szCs w:val="22"/>
        </w:rPr>
        <w:t xml:space="preserve">individual patients/clients and </w:t>
      </w:r>
      <w:r w:rsidRPr="00A868F0">
        <w:rPr>
          <w:rFonts w:cs="Arial"/>
          <w:kern w:val="0"/>
          <w:szCs w:val="22"/>
        </w:rPr>
        <w:t xml:space="preserve">their families throughout the process </w:t>
      </w:r>
    </w:p>
    <w:p w14:paraId="1F096E48" w14:textId="77777777" w:rsidR="004A0C47" w:rsidRPr="00A868F0" w:rsidRDefault="004A0C47" w:rsidP="002E3D50">
      <w:pPr>
        <w:autoSpaceDE w:val="0"/>
        <w:autoSpaceDN w:val="0"/>
        <w:adjustRightInd w:val="0"/>
        <w:spacing w:line="240" w:lineRule="auto"/>
        <w:rPr>
          <w:rFonts w:cs="Arial"/>
          <w:kern w:val="0"/>
          <w:szCs w:val="22"/>
        </w:rPr>
      </w:pPr>
    </w:p>
    <w:p w14:paraId="47D879DA" w14:textId="77777777" w:rsidR="004A0C47" w:rsidRPr="00A868F0" w:rsidRDefault="004A0C47" w:rsidP="00CE3AE1">
      <w:pPr>
        <w:numPr>
          <w:ilvl w:val="0"/>
          <w:numId w:val="1"/>
        </w:numPr>
        <w:autoSpaceDE w:val="0"/>
        <w:autoSpaceDN w:val="0"/>
        <w:adjustRightInd w:val="0"/>
        <w:spacing w:line="240" w:lineRule="auto"/>
        <w:ind w:left="284" w:hanging="284"/>
        <w:rPr>
          <w:rFonts w:cs="Arial"/>
          <w:kern w:val="0"/>
          <w:szCs w:val="22"/>
        </w:rPr>
      </w:pPr>
      <w:r w:rsidRPr="00A868F0">
        <w:rPr>
          <w:rFonts w:cs="Arial"/>
          <w:kern w:val="0"/>
          <w:szCs w:val="22"/>
        </w:rPr>
        <w:t xml:space="preserve">All individual patients and their families representatives will be provided with information to allow them to participate in the process </w:t>
      </w:r>
    </w:p>
    <w:p w14:paraId="56C78BCB" w14:textId="77777777" w:rsidR="004A0C47" w:rsidRPr="00A868F0" w:rsidRDefault="004A0C47" w:rsidP="002E3D50">
      <w:pPr>
        <w:autoSpaceDE w:val="0"/>
        <w:autoSpaceDN w:val="0"/>
        <w:adjustRightInd w:val="0"/>
        <w:spacing w:line="240" w:lineRule="auto"/>
        <w:rPr>
          <w:rFonts w:cs="Arial"/>
          <w:kern w:val="0"/>
          <w:szCs w:val="22"/>
        </w:rPr>
      </w:pPr>
    </w:p>
    <w:p w14:paraId="404ABE4B" w14:textId="77777777" w:rsidR="004A0C47" w:rsidRPr="00A868F0" w:rsidRDefault="004A0C47" w:rsidP="00CE3AE1">
      <w:pPr>
        <w:numPr>
          <w:ilvl w:val="0"/>
          <w:numId w:val="1"/>
        </w:numPr>
        <w:autoSpaceDE w:val="0"/>
        <w:autoSpaceDN w:val="0"/>
        <w:adjustRightInd w:val="0"/>
        <w:spacing w:line="240" w:lineRule="auto"/>
        <w:ind w:left="284" w:hanging="284"/>
        <w:rPr>
          <w:rFonts w:cs="Arial"/>
          <w:kern w:val="0"/>
          <w:szCs w:val="22"/>
        </w:rPr>
      </w:pPr>
      <w:r w:rsidRPr="00A868F0">
        <w:rPr>
          <w:rFonts w:cs="Arial"/>
          <w:kern w:val="0"/>
          <w:szCs w:val="22"/>
        </w:rPr>
        <w:t>N</w:t>
      </w:r>
      <w:r w:rsidR="00A56CD2">
        <w:rPr>
          <w:rFonts w:cs="Arial"/>
          <w:kern w:val="0"/>
          <w:szCs w:val="22"/>
        </w:rPr>
        <w:t xml:space="preserve">orth </w:t>
      </w:r>
      <w:r w:rsidRPr="00A868F0">
        <w:rPr>
          <w:rFonts w:cs="Arial"/>
          <w:kern w:val="0"/>
          <w:szCs w:val="22"/>
        </w:rPr>
        <w:t>E</w:t>
      </w:r>
      <w:r w:rsidR="00A56CD2">
        <w:rPr>
          <w:rFonts w:cs="Arial"/>
          <w:kern w:val="0"/>
          <w:szCs w:val="22"/>
        </w:rPr>
        <w:t xml:space="preserve">ast </w:t>
      </w:r>
      <w:r w:rsidRPr="00A868F0">
        <w:rPr>
          <w:rFonts w:cs="Arial"/>
          <w:kern w:val="0"/>
          <w:szCs w:val="22"/>
        </w:rPr>
        <w:t>L</w:t>
      </w:r>
      <w:r w:rsidR="00A56CD2">
        <w:rPr>
          <w:rFonts w:cs="Arial"/>
          <w:kern w:val="0"/>
          <w:szCs w:val="22"/>
        </w:rPr>
        <w:t>incolnshire</w:t>
      </w:r>
      <w:r w:rsidRPr="00A868F0">
        <w:rPr>
          <w:rFonts w:cs="Arial"/>
          <w:kern w:val="0"/>
          <w:szCs w:val="22"/>
        </w:rPr>
        <w:t xml:space="preserve"> Clinical Commissioning Group will support the use of advocacy for individuals through the process of application for NHS Continuing Healthcare, as in other services where advocacy is required </w:t>
      </w:r>
    </w:p>
    <w:p w14:paraId="0E730B08" w14:textId="77777777" w:rsidR="004A0C47" w:rsidRPr="00A868F0" w:rsidRDefault="004A0C47" w:rsidP="002E3D50">
      <w:pPr>
        <w:autoSpaceDE w:val="0"/>
        <w:autoSpaceDN w:val="0"/>
        <w:adjustRightInd w:val="0"/>
        <w:spacing w:line="240" w:lineRule="auto"/>
        <w:rPr>
          <w:rFonts w:cs="Arial"/>
          <w:kern w:val="0"/>
          <w:szCs w:val="22"/>
        </w:rPr>
      </w:pPr>
    </w:p>
    <w:p w14:paraId="6E7AE5D4" w14:textId="77777777" w:rsidR="004A0C47" w:rsidRPr="00A868F0" w:rsidRDefault="004A0C47" w:rsidP="00CE3AE1">
      <w:pPr>
        <w:numPr>
          <w:ilvl w:val="0"/>
          <w:numId w:val="1"/>
        </w:numPr>
        <w:autoSpaceDE w:val="0"/>
        <w:autoSpaceDN w:val="0"/>
        <w:adjustRightInd w:val="0"/>
        <w:spacing w:line="240" w:lineRule="auto"/>
        <w:ind w:left="284" w:hanging="284"/>
        <w:rPr>
          <w:rFonts w:cs="Arial"/>
          <w:kern w:val="0"/>
          <w:szCs w:val="22"/>
        </w:rPr>
      </w:pPr>
      <w:r w:rsidRPr="00A868F0">
        <w:rPr>
          <w:rFonts w:cs="Arial"/>
          <w:kern w:val="0"/>
          <w:szCs w:val="22"/>
        </w:rPr>
        <w:t xml:space="preserve">The process for decisions about eligibility for NHS Continuing Healthcare will be transparent for individual patients and their families and for partner agencies </w:t>
      </w:r>
    </w:p>
    <w:p w14:paraId="7BCFF17E" w14:textId="77777777" w:rsidR="004A0C47" w:rsidRPr="00A868F0" w:rsidRDefault="004A0C47" w:rsidP="002E3D50">
      <w:pPr>
        <w:autoSpaceDE w:val="0"/>
        <w:autoSpaceDN w:val="0"/>
        <w:adjustRightInd w:val="0"/>
        <w:spacing w:line="240" w:lineRule="auto"/>
        <w:rPr>
          <w:rFonts w:cs="Arial"/>
          <w:kern w:val="0"/>
          <w:szCs w:val="22"/>
        </w:rPr>
      </w:pPr>
    </w:p>
    <w:p w14:paraId="73707C29" w14:textId="77777777" w:rsidR="004A0C47" w:rsidRPr="00A868F0" w:rsidRDefault="004A0C47" w:rsidP="00CE3AE1">
      <w:pPr>
        <w:numPr>
          <w:ilvl w:val="0"/>
          <w:numId w:val="1"/>
        </w:numPr>
        <w:autoSpaceDE w:val="0"/>
        <w:autoSpaceDN w:val="0"/>
        <w:adjustRightInd w:val="0"/>
        <w:spacing w:line="240" w:lineRule="auto"/>
        <w:ind w:left="284" w:hanging="284"/>
        <w:rPr>
          <w:rFonts w:cs="Arial"/>
          <w:kern w:val="0"/>
          <w:szCs w:val="22"/>
        </w:rPr>
      </w:pPr>
      <w:r w:rsidRPr="00A868F0">
        <w:rPr>
          <w:rFonts w:cs="Arial"/>
          <w:kern w:val="0"/>
          <w:szCs w:val="22"/>
        </w:rPr>
        <w:t xml:space="preserve">Once an individual has been referred for a full assessment for NHS Continuing Healthcare, following the completion of a Checklist, all assessments will be undertaken by the multi-disciplinary team involved; ensuring a comprehensive multi-disciplinary assessment of an individual’s health and social care needs, following the procedure for completion of the Decision Support Tool </w:t>
      </w:r>
    </w:p>
    <w:p w14:paraId="3D5827CE" w14:textId="77777777" w:rsidR="004A0C47" w:rsidRPr="00A868F0" w:rsidRDefault="004A0C47" w:rsidP="00A56CD2">
      <w:pPr>
        <w:autoSpaceDE w:val="0"/>
        <w:autoSpaceDN w:val="0"/>
        <w:adjustRightInd w:val="0"/>
        <w:spacing w:line="276" w:lineRule="auto"/>
        <w:rPr>
          <w:rFonts w:cs="Arial"/>
          <w:kern w:val="0"/>
          <w:szCs w:val="22"/>
        </w:rPr>
      </w:pPr>
    </w:p>
    <w:p w14:paraId="79FBEDDD" w14:textId="77777777" w:rsidR="004A0C47" w:rsidRDefault="004A0C47" w:rsidP="00CE3AE1">
      <w:pPr>
        <w:numPr>
          <w:ilvl w:val="0"/>
          <w:numId w:val="1"/>
        </w:numPr>
        <w:autoSpaceDE w:val="0"/>
        <w:autoSpaceDN w:val="0"/>
        <w:adjustRightInd w:val="0"/>
        <w:spacing w:line="240" w:lineRule="auto"/>
        <w:ind w:left="284" w:hanging="284"/>
        <w:rPr>
          <w:rFonts w:cs="Arial"/>
          <w:kern w:val="0"/>
          <w:szCs w:val="22"/>
        </w:rPr>
      </w:pPr>
      <w:r w:rsidRPr="00A868F0">
        <w:rPr>
          <w:rFonts w:cs="Arial"/>
          <w:kern w:val="0"/>
          <w:szCs w:val="22"/>
        </w:rPr>
        <w:t xml:space="preserve">Assessments and decision making about eligibility for NHS Continuing Healthcare will be undertaken within 28 days of the completion of the continuing healthcare Checklist to ensure that individuals receive the care they require in the appropriate environment and without unreasonable delays </w:t>
      </w:r>
    </w:p>
    <w:p w14:paraId="50E123EE" w14:textId="77777777" w:rsidR="004F0BD3" w:rsidRPr="00A868F0" w:rsidRDefault="004F0BD3" w:rsidP="004F0BD3">
      <w:pPr>
        <w:autoSpaceDE w:val="0"/>
        <w:autoSpaceDN w:val="0"/>
        <w:adjustRightInd w:val="0"/>
        <w:spacing w:line="276" w:lineRule="auto"/>
        <w:rPr>
          <w:rFonts w:cs="Arial"/>
          <w:kern w:val="0"/>
          <w:szCs w:val="22"/>
        </w:rPr>
      </w:pPr>
    </w:p>
    <w:p w14:paraId="682C49FC" w14:textId="77777777" w:rsidR="00A005EF" w:rsidRPr="00216727" w:rsidRDefault="00A005EF" w:rsidP="00A005EF">
      <w:pPr>
        <w:pStyle w:val="Heading1"/>
      </w:pPr>
      <w:bookmarkStart w:id="7" w:name="_Toc26869236"/>
      <w:r>
        <w:t>8</w:t>
      </w:r>
      <w:r w:rsidRPr="00216727">
        <w:t>.  HOW TO ACCESS THE SERVICE</w:t>
      </w:r>
      <w:bookmarkEnd w:id="7"/>
    </w:p>
    <w:p w14:paraId="061F314D" w14:textId="77777777" w:rsidR="00A005EF" w:rsidRDefault="00A005EF" w:rsidP="00A005EF">
      <w:pPr>
        <w:autoSpaceDE w:val="0"/>
        <w:autoSpaceDN w:val="0"/>
        <w:adjustRightInd w:val="0"/>
        <w:spacing w:line="240" w:lineRule="auto"/>
        <w:rPr>
          <w:rFonts w:cs="Arial"/>
          <w:szCs w:val="22"/>
          <w:shd w:val="clear" w:color="auto" w:fill="FFFFFF"/>
        </w:rPr>
      </w:pPr>
      <w:r w:rsidRPr="00836721">
        <w:rPr>
          <w:rFonts w:cs="Arial"/>
          <w:kern w:val="0"/>
          <w:szCs w:val="22"/>
          <w:lang w:val="en-US" w:eastAsia="en-US"/>
        </w:rPr>
        <w:cr/>
      </w:r>
      <w:r>
        <w:rPr>
          <w:rFonts w:cs="Arial"/>
          <w:szCs w:val="22"/>
          <w:shd w:val="clear" w:color="auto" w:fill="FFFFFF"/>
        </w:rPr>
        <w:t xml:space="preserve">To access NHS Continuing </w:t>
      </w:r>
      <w:r w:rsidRPr="00216727">
        <w:rPr>
          <w:rFonts w:cs="Arial"/>
          <w:szCs w:val="22"/>
          <w:shd w:val="clear" w:color="auto" w:fill="FFFFFF"/>
        </w:rPr>
        <w:t>H</w:t>
      </w:r>
      <w:r>
        <w:rPr>
          <w:rFonts w:cs="Arial"/>
          <w:szCs w:val="22"/>
          <w:shd w:val="clear" w:color="auto" w:fill="FFFFFF"/>
        </w:rPr>
        <w:t xml:space="preserve">ealth </w:t>
      </w:r>
      <w:r w:rsidRPr="00216727">
        <w:rPr>
          <w:rFonts w:cs="Arial"/>
          <w:szCs w:val="22"/>
          <w:shd w:val="clear" w:color="auto" w:fill="FFFFFF"/>
        </w:rPr>
        <w:t>C</w:t>
      </w:r>
      <w:r>
        <w:rPr>
          <w:rFonts w:cs="Arial"/>
          <w:szCs w:val="22"/>
          <w:shd w:val="clear" w:color="auto" w:fill="FFFFFF"/>
        </w:rPr>
        <w:t>are, individuals</w:t>
      </w:r>
      <w:r w:rsidRPr="00216727">
        <w:rPr>
          <w:rFonts w:cs="Arial"/>
          <w:szCs w:val="22"/>
          <w:shd w:val="clear" w:color="auto" w:fill="FFFFFF"/>
        </w:rPr>
        <w:t xml:space="preserve"> need to liaise with the current health or social care professional involved </w:t>
      </w:r>
      <w:r w:rsidRPr="00CE3AE1">
        <w:rPr>
          <w:rFonts w:cs="Arial"/>
          <w:color w:val="000000"/>
          <w:kern w:val="0"/>
          <w:szCs w:val="22"/>
        </w:rPr>
        <w:t>in</w:t>
      </w:r>
      <w:r w:rsidRPr="00216727">
        <w:rPr>
          <w:rFonts w:cs="Arial"/>
          <w:szCs w:val="22"/>
          <w:shd w:val="clear" w:color="auto" w:fill="FFFFFF"/>
        </w:rPr>
        <w:t xml:space="preserve"> their case.  People who do not have any current involvement can contact their GP</w:t>
      </w:r>
      <w:r>
        <w:rPr>
          <w:rFonts w:cs="Arial"/>
          <w:szCs w:val="22"/>
          <w:shd w:val="clear" w:color="auto" w:fill="FFFFFF"/>
        </w:rPr>
        <w:t>/Single Point of A</w:t>
      </w:r>
      <w:r w:rsidRPr="00216727">
        <w:rPr>
          <w:rFonts w:cs="Arial"/>
          <w:szCs w:val="22"/>
          <w:shd w:val="clear" w:color="auto" w:fill="FFFFFF"/>
        </w:rPr>
        <w:t>ccess or District Nursing service to ask for a continuing healthcare assessment.</w:t>
      </w:r>
    </w:p>
    <w:p w14:paraId="137CA108" w14:textId="77777777" w:rsidR="002C17BA" w:rsidRDefault="002C17BA" w:rsidP="004F0BD3">
      <w:pPr>
        <w:autoSpaceDE w:val="0"/>
        <w:autoSpaceDN w:val="0"/>
        <w:adjustRightInd w:val="0"/>
        <w:spacing w:line="276" w:lineRule="auto"/>
        <w:rPr>
          <w:rStyle w:val="Heading1Char"/>
        </w:rPr>
      </w:pPr>
    </w:p>
    <w:p w14:paraId="2F3A60E9" w14:textId="77777777" w:rsidR="00CE3AE1" w:rsidRDefault="00A005EF" w:rsidP="004F0BD3">
      <w:pPr>
        <w:autoSpaceDE w:val="0"/>
        <w:autoSpaceDN w:val="0"/>
        <w:adjustRightInd w:val="0"/>
        <w:spacing w:line="276" w:lineRule="auto"/>
        <w:rPr>
          <w:rFonts w:cs="Arial"/>
          <w:szCs w:val="22"/>
          <w:lang w:val="en-US" w:eastAsia="en-US"/>
        </w:rPr>
      </w:pPr>
      <w:bookmarkStart w:id="8" w:name="_Toc26869237"/>
      <w:r>
        <w:rPr>
          <w:rStyle w:val="Heading1Char"/>
        </w:rPr>
        <w:t xml:space="preserve">9.  </w:t>
      </w:r>
      <w:r w:rsidR="004F0BD3" w:rsidRPr="004F0BD3">
        <w:rPr>
          <w:rStyle w:val="Heading1Char"/>
        </w:rPr>
        <w:t xml:space="preserve">THE ELIGIBILITY </w:t>
      </w:r>
      <w:r w:rsidR="004F0BD3" w:rsidRPr="00CE3AE1">
        <w:rPr>
          <w:rStyle w:val="Heading1Char"/>
        </w:rPr>
        <w:t>FRAMEWORK</w:t>
      </w:r>
      <w:bookmarkEnd w:id="8"/>
    </w:p>
    <w:p w14:paraId="6DA49C8A" w14:textId="77777777" w:rsidR="00CE3AE1" w:rsidRDefault="00CE3AE1" w:rsidP="00A005EF">
      <w:pPr>
        <w:autoSpaceDE w:val="0"/>
        <w:autoSpaceDN w:val="0"/>
        <w:adjustRightInd w:val="0"/>
        <w:spacing w:line="240" w:lineRule="auto"/>
        <w:rPr>
          <w:rFonts w:cs="Arial"/>
          <w:szCs w:val="22"/>
          <w:lang w:val="en-US" w:eastAsia="en-US"/>
        </w:rPr>
      </w:pPr>
    </w:p>
    <w:p w14:paraId="5F16486D" w14:textId="77777777" w:rsidR="004F0BD3" w:rsidRPr="00CE3AE1" w:rsidRDefault="004F0BD3" w:rsidP="00CE3AE1">
      <w:pPr>
        <w:autoSpaceDE w:val="0"/>
        <w:autoSpaceDN w:val="0"/>
        <w:adjustRightInd w:val="0"/>
        <w:spacing w:line="240" w:lineRule="auto"/>
        <w:rPr>
          <w:rFonts w:cs="Arial"/>
          <w:i/>
          <w:sz w:val="24"/>
          <w:lang w:val="en-US" w:eastAsia="en-US"/>
        </w:rPr>
      </w:pPr>
      <w:r w:rsidRPr="00CE3AE1">
        <w:rPr>
          <w:rFonts w:cs="Arial"/>
          <w:color w:val="000000"/>
          <w:kern w:val="0"/>
          <w:szCs w:val="22"/>
        </w:rPr>
        <w:t>The</w:t>
      </w:r>
      <w:r w:rsidRPr="00A868F0">
        <w:rPr>
          <w:rFonts w:cs="Arial"/>
          <w:color w:val="000000"/>
          <w:kern w:val="0"/>
          <w:szCs w:val="22"/>
        </w:rPr>
        <w:t xml:space="preserve"> National Framework for NHS Continuing Healthcare &amp; NHS Fu</w:t>
      </w:r>
      <w:r w:rsidR="00750515">
        <w:rPr>
          <w:rFonts w:cs="Arial"/>
          <w:color w:val="000000"/>
          <w:kern w:val="0"/>
          <w:szCs w:val="22"/>
        </w:rPr>
        <w:t>nded-Nursing Care (revised, 2018</w:t>
      </w:r>
      <w:r w:rsidRPr="00A868F0">
        <w:rPr>
          <w:rFonts w:cs="Arial"/>
          <w:color w:val="000000"/>
          <w:kern w:val="0"/>
          <w:szCs w:val="22"/>
        </w:rPr>
        <w:t xml:space="preserve">) provides a consistent approach to establishing eligibility for NHS Continuing Healthcare. This is achieved through the use of the revised National Tools and Guidance developed to assist in making decisions about eligibility for continuing healthcare. </w:t>
      </w:r>
    </w:p>
    <w:p w14:paraId="74E565D2" w14:textId="77777777" w:rsidR="004F0BD3" w:rsidRPr="00A868F0" w:rsidRDefault="004F0BD3" w:rsidP="00CE3AE1">
      <w:pPr>
        <w:autoSpaceDE w:val="0"/>
        <w:autoSpaceDN w:val="0"/>
        <w:adjustRightInd w:val="0"/>
        <w:spacing w:line="240" w:lineRule="auto"/>
        <w:rPr>
          <w:rFonts w:cs="Arial"/>
          <w:color w:val="000000"/>
          <w:kern w:val="0"/>
          <w:szCs w:val="22"/>
        </w:rPr>
      </w:pPr>
    </w:p>
    <w:p w14:paraId="1F801C88" w14:textId="77777777" w:rsidR="004F0BD3" w:rsidRPr="00A868F0" w:rsidRDefault="004F0BD3" w:rsidP="00CE3AE1">
      <w:pPr>
        <w:autoSpaceDE w:val="0"/>
        <w:autoSpaceDN w:val="0"/>
        <w:adjustRightInd w:val="0"/>
        <w:spacing w:line="240" w:lineRule="auto"/>
        <w:rPr>
          <w:rFonts w:cs="Arial"/>
          <w:color w:val="000000"/>
          <w:kern w:val="0"/>
          <w:szCs w:val="22"/>
        </w:rPr>
      </w:pPr>
      <w:r w:rsidRPr="00A868F0">
        <w:rPr>
          <w:rFonts w:cs="Arial"/>
          <w:color w:val="000000"/>
          <w:kern w:val="0"/>
          <w:szCs w:val="22"/>
        </w:rPr>
        <w:t xml:space="preserve">As a result of the Coughlan Judgement (1999) and the Grogan Judgement (2006), under the National Health Service Act 2006, the Secretary of State has developed the concept of a “primary health need” to assist in deciding which treatment and other health services it is appropriate for the NHS to provide under NHS Continuing Healthcare. </w:t>
      </w:r>
    </w:p>
    <w:p w14:paraId="10D34EF9" w14:textId="77777777" w:rsidR="004F0BD3" w:rsidRPr="00A868F0" w:rsidRDefault="004F0BD3" w:rsidP="00CE3AE1">
      <w:pPr>
        <w:spacing w:line="240" w:lineRule="auto"/>
        <w:ind w:right="425"/>
        <w:rPr>
          <w:rFonts w:cs="Arial"/>
          <w:color w:val="000000"/>
          <w:kern w:val="0"/>
          <w:szCs w:val="22"/>
        </w:rPr>
      </w:pPr>
    </w:p>
    <w:p w14:paraId="15895777" w14:textId="77777777" w:rsidR="004F0BD3" w:rsidRPr="00A868F0" w:rsidRDefault="004F0BD3" w:rsidP="00CE3AE1">
      <w:pPr>
        <w:autoSpaceDE w:val="0"/>
        <w:autoSpaceDN w:val="0"/>
        <w:adjustRightInd w:val="0"/>
        <w:spacing w:line="240" w:lineRule="auto"/>
        <w:rPr>
          <w:rFonts w:cs="Arial"/>
          <w:color w:val="000000"/>
          <w:kern w:val="0"/>
          <w:szCs w:val="22"/>
        </w:rPr>
      </w:pPr>
      <w:r w:rsidRPr="00A868F0">
        <w:rPr>
          <w:rFonts w:cs="Arial"/>
          <w:color w:val="000000"/>
          <w:kern w:val="0"/>
          <w:szCs w:val="22"/>
        </w:rPr>
        <w:t xml:space="preserve">Where a person’s “primary need” is a health need, they are eligible for NHS Continuing Healthcare. Deciding whether this is the case involves looking at the totality of the relevant needs from the assessment process. Where an individual has a primary health need, the NHS is responsible for providing all of the care to meet that need, including accommodation, if that is part of that need. </w:t>
      </w:r>
    </w:p>
    <w:p w14:paraId="50ED1BC3" w14:textId="77777777" w:rsidR="004F0BD3" w:rsidRPr="00A868F0" w:rsidRDefault="004F0BD3" w:rsidP="00CE3AE1">
      <w:pPr>
        <w:spacing w:line="240" w:lineRule="auto"/>
        <w:ind w:right="425"/>
        <w:rPr>
          <w:rFonts w:cs="Arial"/>
          <w:color w:val="000000"/>
          <w:kern w:val="0"/>
          <w:szCs w:val="22"/>
        </w:rPr>
      </w:pPr>
    </w:p>
    <w:p w14:paraId="334EF623" w14:textId="77777777" w:rsidR="004F0BD3" w:rsidRPr="00A868F0" w:rsidRDefault="004F0BD3" w:rsidP="00CE3AE1">
      <w:pPr>
        <w:autoSpaceDE w:val="0"/>
        <w:autoSpaceDN w:val="0"/>
        <w:adjustRightInd w:val="0"/>
        <w:spacing w:line="240" w:lineRule="auto"/>
        <w:rPr>
          <w:rFonts w:cs="Arial"/>
          <w:color w:val="000000"/>
          <w:kern w:val="0"/>
          <w:szCs w:val="22"/>
        </w:rPr>
      </w:pPr>
      <w:r w:rsidRPr="00A868F0">
        <w:rPr>
          <w:rFonts w:cs="Arial"/>
          <w:color w:val="000000"/>
          <w:kern w:val="0"/>
          <w:szCs w:val="22"/>
        </w:rPr>
        <w:t>Consideration of primary health need includes consideration of the characteristics of need and their impact on the care required to manage the needs. In particular to determine whether the quantity or quality of care is more than the limits of responsibility of Local Authorities (as in the Coughlan Judgement).</w:t>
      </w:r>
      <w:r w:rsidR="00555AA2">
        <w:rPr>
          <w:rFonts w:cs="Arial"/>
          <w:color w:val="000000"/>
          <w:kern w:val="0"/>
          <w:szCs w:val="22"/>
        </w:rPr>
        <w:t xml:space="preserve"> </w:t>
      </w:r>
      <w:r w:rsidRPr="00A868F0">
        <w:rPr>
          <w:rFonts w:cs="Arial"/>
          <w:color w:val="000000"/>
          <w:kern w:val="0"/>
          <w:szCs w:val="22"/>
        </w:rPr>
        <w:t xml:space="preserve">Consideration is given to the following areas:- </w:t>
      </w:r>
    </w:p>
    <w:p w14:paraId="77455E93" w14:textId="77777777" w:rsidR="004F0BD3" w:rsidRPr="00A868F0" w:rsidRDefault="004F0BD3" w:rsidP="00CE3AE1">
      <w:pPr>
        <w:spacing w:line="240" w:lineRule="auto"/>
        <w:ind w:right="425"/>
        <w:rPr>
          <w:rFonts w:cs="Arial"/>
          <w:color w:val="000000"/>
          <w:kern w:val="0"/>
          <w:szCs w:val="22"/>
        </w:rPr>
      </w:pPr>
    </w:p>
    <w:p w14:paraId="3B4A20A5" w14:textId="77777777" w:rsidR="004F0BD3" w:rsidRPr="00A868F0" w:rsidRDefault="004F0BD3" w:rsidP="00CE3AE1">
      <w:pPr>
        <w:numPr>
          <w:ilvl w:val="0"/>
          <w:numId w:val="1"/>
        </w:numPr>
        <w:autoSpaceDE w:val="0"/>
        <w:autoSpaceDN w:val="0"/>
        <w:adjustRightInd w:val="0"/>
        <w:spacing w:line="240" w:lineRule="auto"/>
        <w:ind w:left="284" w:hanging="284"/>
        <w:rPr>
          <w:rFonts w:cs="Arial"/>
          <w:color w:val="000000"/>
          <w:kern w:val="0"/>
          <w:szCs w:val="22"/>
        </w:rPr>
      </w:pPr>
      <w:r w:rsidRPr="00A868F0">
        <w:rPr>
          <w:rFonts w:cs="Arial"/>
          <w:b/>
          <w:bCs/>
          <w:color w:val="000000"/>
          <w:kern w:val="0"/>
          <w:szCs w:val="22"/>
        </w:rPr>
        <w:t xml:space="preserve">Nature and type of need: </w:t>
      </w:r>
      <w:r w:rsidRPr="00A868F0">
        <w:rPr>
          <w:rFonts w:cs="Arial"/>
          <w:color w:val="000000"/>
          <w:kern w:val="0"/>
          <w:szCs w:val="22"/>
        </w:rPr>
        <w:t xml:space="preserve">the particular characteristics of an individual’s needs and the overall effect of </w:t>
      </w:r>
      <w:r w:rsidRPr="00CE3AE1">
        <w:rPr>
          <w:rFonts w:cs="Arial"/>
          <w:kern w:val="0"/>
          <w:szCs w:val="22"/>
        </w:rPr>
        <w:t>those</w:t>
      </w:r>
      <w:r w:rsidRPr="00A868F0">
        <w:rPr>
          <w:rFonts w:cs="Arial"/>
          <w:color w:val="000000"/>
          <w:kern w:val="0"/>
          <w:szCs w:val="22"/>
        </w:rPr>
        <w:t xml:space="preserve"> needs on the individual, including the type of interventions required to manage them </w:t>
      </w:r>
    </w:p>
    <w:p w14:paraId="25D31B81" w14:textId="77777777" w:rsidR="004F0BD3" w:rsidRPr="00A868F0" w:rsidRDefault="004F0BD3" w:rsidP="00CE3AE1">
      <w:pPr>
        <w:numPr>
          <w:ilvl w:val="0"/>
          <w:numId w:val="1"/>
        </w:numPr>
        <w:autoSpaceDE w:val="0"/>
        <w:autoSpaceDN w:val="0"/>
        <w:adjustRightInd w:val="0"/>
        <w:spacing w:line="240" w:lineRule="auto"/>
        <w:ind w:left="284" w:hanging="284"/>
        <w:rPr>
          <w:rFonts w:cs="Arial"/>
          <w:color w:val="000000"/>
          <w:kern w:val="0"/>
          <w:szCs w:val="22"/>
        </w:rPr>
      </w:pPr>
      <w:r w:rsidRPr="00A868F0">
        <w:rPr>
          <w:rFonts w:cs="Arial"/>
          <w:b/>
          <w:bCs/>
          <w:color w:val="000000"/>
          <w:kern w:val="0"/>
          <w:szCs w:val="22"/>
        </w:rPr>
        <w:t xml:space="preserve">Intensity of need: </w:t>
      </w:r>
      <w:r w:rsidRPr="00A868F0">
        <w:rPr>
          <w:rFonts w:cs="Arial"/>
          <w:color w:val="000000"/>
          <w:kern w:val="0"/>
          <w:szCs w:val="22"/>
        </w:rPr>
        <w:t xml:space="preserve">both extent (quantity) and severity (degree) of the needs, including the need for sustained care (continuity) </w:t>
      </w:r>
    </w:p>
    <w:p w14:paraId="2ED2FB3B" w14:textId="77777777" w:rsidR="004F0BD3" w:rsidRPr="00A868F0" w:rsidRDefault="004F0BD3" w:rsidP="00CE3AE1">
      <w:pPr>
        <w:numPr>
          <w:ilvl w:val="0"/>
          <w:numId w:val="1"/>
        </w:numPr>
        <w:autoSpaceDE w:val="0"/>
        <w:autoSpaceDN w:val="0"/>
        <w:adjustRightInd w:val="0"/>
        <w:spacing w:line="240" w:lineRule="auto"/>
        <w:ind w:left="284" w:hanging="284"/>
        <w:rPr>
          <w:rFonts w:cs="Arial"/>
          <w:color w:val="000000"/>
          <w:kern w:val="0"/>
          <w:szCs w:val="22"/>
        </w:rPr>
      </w:pPr>
      <w:r w:rsidRPr="00A868F0">
        <w:rPr>
          <w:rFonts w:cs="Arial"/>
          <w:b/>
          <w:bCs/>
          <w:color w:val="000000"/>
          <w:kern w:val="0"/>
          <w:szCs w:val="22"/>
        </w:rPr>
        <w:t xml:space="preserve">Complexity of </w:t>
      </w:r>
      <w:r w:rsidRPr="00CE3AE1">
        <w:rPr>
          <w:rFonts w:cs="Arial"/>
          <w:kern w:val="0"/>
          <w:szCs w:val="22"/>
        </w:rPr>
        <w:t>need</w:t>
      </w:r>
      <w:r w:rsidRPr="00A868F0">
        <w:rPr>
          <w:rFonts w:cs="Arial"/>
          <w:b/>
          <w:bCs/>
          <w:color w:val="000000"/>
          <w:kern w:val="0"/>
          <w:szCs w:val="22"/>
        </w:rPr>
        <w:t xml:space="preserve">: </w:t>
      </w:r>
      <w:r w:rsidRPr="00A868F0">
        <w:rPr>
          <w:rFonts w:cs="Arial"/>
          <w:color w:val="000000"/>
          <w:kern w:val="0"/>
          <w:szCs w:val="22"/>
        </w:rPr>
        <w:t xml:space="preserve">how the needs present and interact to increase the skill required to monitor and manage the care. This may arise with a single condition or the interaction between </w:t>
      </w:r>
      <w:proofErr w:type="gramStart"/>
      <w:r w:rsidRPr="00A868F0">
        <w:rPr>
          <w:rFonts w:cs="Arial"/>
          <w:color w:val="000000"/>
          <w:kern w:val="0"/>
          <w:szCs w:val="22"/>
        </w:rPr>
        <w:t>a number of</w:t>
      </w:r>
      <w:proofErr w:type="gramEnd"/>
      <w:r w:rsidRPr="00A868F0">
        <w:rPr>
          <w:rFonts w:cs="Arial"/>
          <w:color w:val="000000"/>
          <w:kern w:val="0"/>
          <w:szCs w:val="22"/>
        </w:rPr>
        <w:t xml:space="preserve"> conditions. It may also include situations where an individual’s response to their own condition has an impact on their overall needs </w:t>
      </w:r>
    </w:p>
    <w:p w14:paraId="6EFCD854" w14:textId="77777777" w:rsidR="004F0BD3" w:rsidRPr="00A868F0" w:rsidRDefault="004F0BD3" w:rsidP="00CE3AE1">
      <w:pPr>
        <w:numPr>
          <w:ilvl w:val="0"/>
          <w:numId w:val="1"/>
        </w:numPr>
        <w:autoSpaceDE w:val="0"/>
        <w:autoSpaceDN w:val="0"/>
        <w:adjustRightInd w:val="0"/>
        <w:spacing w:line="240" w:lineRule="auto"/>
        <w:ind w:left="284" w:hanging="284"/>
        <w:rPr>
          <w:rFonts w:cs="Arial"/>
          <w:color w:val="000000"/>
          <w:kern w:val="0"/>
          <w:szCs w:val="22"/>
        </w:rPr>
      </w:pPr>
      <w:r w:rsidRPr="00A868F0">
        <w:rPr>
          <w:rFonts w:cs="Arial"/>
          <w:b/>
          <w:bCs/>
          <w:color w:val="000000"/>
          <w:kern w:val="0"/>
          <w:szCs w:val="22"/>
        </w:rPr>
        <w:t xml:space="preserve">Unpredictability of need: </w:t>
      </w:r>
      <w:r w:rsidRPr="00A868F0">
        <w:rPr>
          <w:rFonts w:cs="Arial"/>
          <w:color w:val="000000"/>
          <w:kern w:val="0"/>
          <w:szCs w:val="22"/>
        </w:rPr>
        <w:t xml:space="preserve">the degree to which needs fluctuate, creating difficulty/challenges in managing the need. It also relates to the level of risk to the person’s health if adequate and timely interventions/care are not provided </w:t>
      </w:r>
    </w:p>
    <w:p w14:paraId="7503FCCF" w14:textId="77777777" w:rsidR="004F0BD3" w:rsidRPr="00A868F0" w:rsidRDefault="004F0BD3" w:rsidP="00CE3AE1">
      <w:pPr>
        <w:spacing w:line="240" w:lineRule="auto"/>
        <w:ind w:right="425"/>
        <w:rPr>
          <w:rFonts w:cs="Arial"/>
          <w:kern w:val="0"/>
          <w:szCs w:val="22"/>
          <w:lang w:val="en-US" w:eastAsia="en-US"/>
        </w:rPr>
      </w:pPr>
    </w:p>
    <w:p w14:paraId="3506796D" w14:textId="77777777" w:rsidR="004F0BD3" w:rsidRPr="00A868F0" w:rsidRDefault="004F0BD3" w:rsidP="00CE3AE1">
      <w:pPr>
        <w:autoSpaceDE w:val="0"/>
        <w:autoSpaceDN w:val="0"/>
        <w:adjustRightInd w:val="0"/>
        <w:spacing w:line="240" w:lineRule="auto"/>
        <w:rPr>
          <w:rFonts w:cs="Arial"/>
          <w:kern w:val="0"/>
          <w:szCs w:val="22"/>
          <w:lang w:val="en-US" w:eastAsia="en-US"/>
        </w:rPr>
      </w:pPr>
      <w:r w:rsidRPr="00A868F0">
        <w:rPr>
          <w:rFonts w:cs="Arial"/>
          <w:kern w:val="0"/>
          <w:szCs w:val="22"/>
          <w:lang w:eastAsia="en-US"/>
        </w:rPr>
        <w:t>To minimise variation in interpretation of the principles and to inform consistent decision making, the NHS Continuing Healthcare Decision Support Tool has been developed for use by practitioners to obtain a full picture of needs and to indicate the level of need that could constitute a primary health need. The Decision Support Tool combined with the practitioners own experiences and professional judgement should enable them to apply the primary health needs test in practice in a way which is consistent with the limits on what can be legally provided by a Local Authority.</w:t>
      </w:r>
    </w:p>
    <w:p w14:paraId="546D178C" w14:textId="77777777" w:rsidR="004F0BD3" w:rsidRPr="00CB60B0" w:rsidRDefault="004F0BD3" w:rsidP="00CB60B0">
      <w:pPr>
        <w:autoSpaceDE w:val="0"/>
        <w:autoSpaceDN w:val="0"/>
        <w:adjustRightInd w:val="0"/>
        <w:spacing w:line="240" w:lineRule="auto"/>
        <w:rPr>
          <w:rFonts w:cs="Arial"/>
          <w:kern w:val="0"/>
          <w:szCs w:val="22"/>
          <w:lang w:eastAsia="en-US"/>
        </w:rPr>
      </w:pPr>
      <w:r w:rsidRPr="00A868F0">
        <w:rPr>
          <w:rFonts w:cs="Arial"/>
          <w:b/>
          <w:kern w:val="0"/>
          <w:szCs w:val="22"/>
          <w:lang w:val="en-US" w:eastAsia="en-US"/>
        </w:rPr>
        <w:cr/>
      </w:r>
      <w:r w:rsidRPr="00A868F0">
        <w:rPr>
          <w:rFonts w:cs="Arial"/>
          <w:kern w:val="0"/>
          <w:szCs w:val="22"/>
          <w:lang w:eastAsia="en-US"/>
        </w:rPr>
        <w:t>Eligibility for NHS Continuing Healthcare is based on an individual’s assessed health and social care needs. The Decision Support Tool provides the basis for decisions on eligibility for NHS funded continuing healthcare. The Decision Support Tool must be completed by the multi-disciplinary team, which as a minimum should include a health professional and a social care practitioner. Social care staff must always be involved in the completion of the Decision Support Tool were possible. Specialist staff and mental health staff should be involved dependent on the individual’s needs.</w:t>
      </w:r>
    </w:p>
    <w:p w14:paraId="782D449A" w14:textId="77777777" w:rsidR="004F0BD3" w:rsidRPr="00CB60B0" w:rsidRDefault="004F0BD3" w:rsidP="00CB60B0">
      <w:pPr>
        <w:autoSpaceDE w:val="0"/>
        <w:autoSpaceDN w:val="0"/>
        <w:adjustRightInd w:val="0"/>
        <w:spacing w:line="240" w:lineRule="auto"/>
        <w:rPr>
          <w:rFonts w:cs="Arial"/>
          <w:kern w:val="0"/>
          <w:szCs w:val="22"/>
          <w:lang w:eastAsia="en-US"/>
        </w:rPr>
      </w:pPr>
    </w:p>
    <w:p w14:paraId="7BADB39D" w14:textId="77777777" w:rsidR="004F0BD3" w:rsidRPr="00A868F0" w:rsidRDefault="004F0BD3" w:rsidP="00CE3AE1">
      <w:pPr>
        <w:autoSpaceDE w:val="0"/>
        <w:autoSpaceDN w:val="0"/>
        <w:adjustRightInd w:val="0"/>
        <w:spacing w:line="240" w:lineRule="auto"/>
        <w:rPr>
          <w:rFonts w:cs="Arial"/>
          <w:color w:val="000000"/>
          <w:kern w:val="0"/>
          <w:szCs w:val="22"/>
        </w:rPr>
      </w:pPr>
      <w:r w:rsidRPr="00A868F0">
        <w:rPr>
          <w:rFonts w:cs="Arial"/>
          <w:color w:val="000000"/>
          <w:kern w:val="0"/>
          <w:szCs w:val="22"/>
        </w:rPr>
        <w:t xml:space="preserve">The multi-disciplinary team will make recommendations on eligibility of the individual patients/clients for NHS funded continuing healthcare to NEL Clinical Commissioning Group Decision forum. The CCG will consider the MDT recommendation and can make the following decisions with regard to recommendations about eligibility for NHS Continuing Healthcare:- </w:t>
      </w:r>
    </w:p>
    <w:p w14:paraId="51D08EFC" w14:textId="77777777" w:rsidR="004F0BD3" w:rsidRPr="00A868F0" w:rsidRDefault="004F0BD3" w:rsidP="00CE3AE1">
      <w:pPr>
        <w:spacing w:line="240" w:lineRule="auto"/>
        <w:ind w:right="425"/>
        <w:rPr>
          <w:rFonts w:cs="Arial"/>
          <w:color w:val="000000"/>
          <w:kern w:val="0"/>
          <w:szCs w:val="22"/>
        </w:rPr>
      </w:pPr>
    </w:p>
    <w:p w14:paraId="490A4A9D" w14:textId="77777777" w:rsidR="004F0BD3" w:rsidRPr="00A868F0" w:rsidRDefault="004F0BD3" w:rsidP="00CE3AE1">
      <w:pPr>
        <w:numPr>
          <w:ilvl w:val="0"/>
          <w:numId w:val="1"/>
        </w:numPr>
        <w:autoSpaceDE w:val="0"/>
        <w:autoSpaceDN w:val="0"/>
        <w:adjustRightInd w:val="0"/>
        <w:spacing w:line="240" w:lineRule="auto"/>
        <w:ind w:left="284" w:hanging="284"/>
        <w:rPr>
          <w:rFonts w:cs="Arial"/>
          <w:color w:val="000000"/>
          <w:kern w:val="0"/>
          <w:szCs w:val="22"/>
        </w:rPr>
      </w:pPr>
      <w:r w:rsidRPr="00A868F0">
        <w:rPr>
          <w:rFonts w:cs="Arial"/>
          <w:color w:val="000000"/>
          <w:kern w:val="0"/>
          <w:szCs w:val="22"/>
        </w:rPr>
        <w:t xml:space="preserve">Verify the recommendations of the multi-disciplinary team </w:t>
      </w:r>
    </w:p>
    <w:p w14:paraId="2ADD468C" w14:textId="7A2DD40C" w:rsidR="00CE3AE1" w:rsidRPr="00E227FA" w:rsidRDefault="004F0BD3" w:rsidP="00E227FA">
      <w:pPr>
        <w:numPr>
          <w:ilvl w:val="0"/>
          <w:numId w:val="1"/>
        </w:numPr>
        <w:autoSpaceDE w:val="0"/>
        <w:autoSpaceDN w:val="0"/>
        <w:adjustRightInd w:val="0"/>
        <w:spacing w:line="240" w:lineRule="auto"/>
        <w:ind w:left="284" w:hanging="284"/>
        <w:rPr>
          <w:rFonts w:cs="Arial"/>
          <w:color w:val="000000"/>
          <w:kern w:val="0"/>
          <w:szCs w:val="22"/>
        </w:rPr>
      </w:pPr>
      <w:r w:rsidRPr="00A868F0">
        <w:rPr>
          <w:rFonts w:cs="Arial"/>
          <w:color w:val="000000"/>
          <w:kern w:val="0"/>
          <w:szCs w:val="22"/>
        </w:rPr>
        <w:lastRenderedPageBreak/>
        <w:t xml:space="preserve">For complex cases where agreement cannot be met at the CHC Decision Forum </w:t>
      </w:r>
      <w:r w:rsidR="00555AA2">
        <w:rPr>
          <w:rFonts w:cs="Arial"/>
          <w:color w:val="000000"/>
          <w:kern w:val="0"/>
          <w:szCs w:val="22"/>
        </w:rPr>
        <w:t>the case will be</w:t>
      </w:r>
      <w:r w:rsidR="00E227FA">
        <w:rPr>
          <w:rFonts w:cs="Arial"/>
          <w:color w:val="000000"/>
          <w:kern w:val="0"/>
          <w:szCs w:val="22"/>
        </w:rPr>
        <w:t xml:space="preserve"> </w:t>
      </w:r>
      <w:r w:rsidR="00E227FA" w:rsidRPr="00E227FA">
        <w:rPr>
          <w:rFonts w:cs="Arial"/>
          <w:color w:val="000000"/>
          <w:kern w:val="0"/>
          <w:szCs w:val="22"/>
        </w:rPr>
        <w:t>r</w:t>
      </w:r>
      <w:r w:rsidRPr="00E227FA">
        <w:rPr>
          <w:rFonts w:cs="Arial"/>
          <w:color w:val="000000"/>
          <w:kern w:val="0"/>
          <w:szCs w:val="22"/>
        </w:rPr>
        <w:t xml:space="preserve">eferred to NEL CCG </w:t>
      </w:r>
      <w:r w:rsidR="005A289B">
        <w:rPr>
          <w:rFonts w:cs="Arial"/>
          <w:color w:val="000000"/>
          <w:kern w:val="0"/>
          <w:szCs w:val="22"/>
        </w:rPr>
        <w:t xml:space="preserve">ICAAP </w:t>
      </w:r>
      <w:r w:rsidRPr="00E227FA">
        <w:rPr>
          <w:rFonts w:cs="Arial"/>
          <w:color w:val="000000"/>
          <w:kern w:val="0"/>
          <w:szCs w:val="22"/>
        </w:rPr>
        <w:t>Panel for consideration</w:t>
      </w:r>
    </w:p>
    <w:p w14:paraId="05E836B7" w14:textId="77777777" w:rsidR="004F0BD3" w:rsidRPr="00CE3AE1" w:rsidRDefault="004F0BD3" w:rsidP="00CE3AE1">
      <w:pPr>
        <w:spacing w:line="240" w:lineRule="auto"/>
        <w:ind w:right="425"/>
        <w:rPr>
          <w:rFonts w:cs="Arial"/>
          <w:color w:val="000000"/>
          <w:kern w:val="0"/>
          <w:szCs w:val="22"/>
        </w:rPr>
      </w:pPr>
      <w:r w:rsidRPr="00A868F0">
        <w:rPr>
          <w:rFonts w:cs="Arial"/>
          <w:color w:val="000000"/>
          <w:kern w:val="0"/>
          <w:szCs w:val="22"/>
        </w:rPr>
        <w:t xml:space="preserve"> </w:t>
      </w:r>
    </w:p>
    <w:p w14:paraId="3887B364" w14:textId="77777777" w:rsidR="004F0BD3" w:rsidRDefault="00031ABC" w:rsidP="00CE3AE1">
      <w:pPr>
        <w:autoSpaceDE w:val="0"/>
        <w:autoSpaceDN w:val="0"/>
        <w:adjustRightInd w:val="0"/>
        <w:spacing w:line="240" w:lineRule="auto"/>
        <w:rPr>
          <w:rFonts w:cs="Arial"/>
          <w:color w:val="000000"/>
          <w:kern w:val="0"/>
          <w:szCs w:val="22"/>
        </w:rPr>
      </w:pPr>
      <w:r w:rsidRPr="002C17BA">
        <w:rPr>
          <w:rFonts w:cs="Arial"/>
          <w:color w:val="000000"/>
          <w:kern w:val="0"/>
          <w:szCs w:val="22"/>
        </w:rPr>
        <w:t>The CCG may d</w:t>
      </w:r>
      <w:r w:rsidR="004F0BD3" w:rsidRPr="002C17BA">
        <w:rPr>
          <w:rFonts w:cs="Arial"/>
          <w:color w:val="000000"/>
          <w:kern w:val="0"/>
          <w:szCs w:val="22"/>
        </w:rPr>
        <w:t>efer</w:t>
      </w:r>
      <w:r w:rsidR="004F0BD3" w:rsidRPr="00A868F0">
        <w:rPr>
          <w:rFonts w:cs="Arial"/>
          <w:color w:val="000000"/>
          <w:kern w:val="0"/>
          <w:szCs w:val="22"/>
        </w:rPr>
        <w:t xml:space="preserve"> the </w:t>
      </w:r>
      <w:r w:rsidR="004F0BD3" w:rsidRPr="00CE3AE1">
        <w:rPr>
          <w:rFonts w:cs="Arial"/>
          <w:kern w:val="0"/>
          <w:szCs w:val="22"/>
          <w:lang w:eastAsia="en-US"/>
        </w:rPr>
        <w:t>decision</w:t>
      </w:r>
      <w:r w:rsidR="004F0BD3" w:rsidRPr="00A868F0">
        <w:rPr>
          <w:rFonts w:cs="Arial"/>
          <w:color w:val="000000"/>
          <w:kern w:val="0"/>
          <w:szCs w:val="22"/>
        </w:rPr>
        <w:t xml:space="preserve"> and request further evidence to support recommendation and consequently decision on eligibility: </w:t>
      </w:r>
    </w:p>
    <w:p w14:paraId="48F9E3E9" w14:textId="77777777" w:rsidR="00555AA2" w:rsidRPr="00A868F0" w:rsidRDefault="00555AA2" w:rsidP="00CE3AE1">
      <w:pPr>
        <w:spacing w:line="240" w:lineRule="auto"/>
        <w:ind w:right="425"/>
        <w:rPr>
          <w:rFonts w:cs="Arial"/>
          <w:color w:val="000000"/>
          <w:kern w:val="0"/>
          <w:szCs w:val="22"/>
        </w:rPr>
      </w:pPr>
    </w:p>
    <w:p w14:paraId="35A940A8" w14:textId="77777777" w:rsidR="004F0BD3" w:rsidRPr="00A868F0" w:rsidRDefault="004F0BD3" w:rsidP="00CE3AE1">
      <w:pPr>
        <w:numPr>
          <w:ilvl w:val="0"/>
          <w:numId w:val="1"/>
        </w:numPr>
        <w:autoSpaceDE w:val="0"/>
        <w:autoSpaceDN w:val="0"/>
        <w:adjustRightInd w:val="0"/>
        <w:spacing w:line="240" w:lineRule="auto"/>
        <w:ind w:left="284" w:hanging="284"/>
        <w:rPr>
          <w:rFonts w:cs="Arial"/>
          <w:color w:val="000000"/>
          <w:kern w:val="0"/>
          <w:szCs w:val="22"/>
        </w:rPr>
      </w:pPr>
      <w:r w:rsidRPr="00A868F0">
        <w:rPr>
          <w:rFonts w:cs="Arial"/>
          <w:color w:val="000000"/>
          <w:kern w:val="0"/>
          <w:szCs w:val="22"/>
        </w:rPr>
        <w:t xml:space="preserve">Not verify the recommendations of the multi-disciplinary team where the evidence provided does not support the level of need indicated in the Decision Support Tool. A full written detailed explanation of the decision will be provided to the applicant and/or their representative </w:t>
      </w:r>
    </w:p>
    <w:p w14:paraId="39222CCC" w14:textId="77777777" w:rsidR="004F0BD3" w:rsidRPr="00555AA2" w:rsidRDefault="004F0BD3" w:rsidP="00CE3AE1">
      <w:pPr>
        <w:numPr>
          <w:ilvl w:val="0"/>
          <w:numId w:val="1"/>
        </w:numPr>
        <w:autoSpaceDE w:val="0"/>
        <w:autoSpaceDN w:val="0"/>
        <w:adjustRightInd w:val="0"/>
        <w:spacing w:line="240" w:lineRule="auto"/>
        <w:ind w:left="284" w:hanging="284"/>
        <w:rPr>
          <w:rFonts w:cs="Arial"/>
          <w:color w:val="000000"/>
          <w:kern w:val="0"/>
          <w:szCs w:val="22"/>
        </w:rPr>
      </w:pPr>
      <w:r w:rsidRPr="00555AA2">
        <w:rPr>
          <w:rFonts w:cs="Arial"/>
          <w:color w:val="000000"/>
          <w:kern w:val="0"/>
          <w:szCs w:val="22"/>
        </w:rPr>
        <w:t xml:space="preserve">To remove continuing healthcare funding from an individual who is currently in receipt of it, if the multi-disciplinary team recommendation is no longer eligible for NHS Continuing Healthcare </w:t>
      </w:r>
    </w:p>
    <w:p w14:paraId="6F1D57B0" w14:textId="77777777" w:rsidR="002E3D50" w:rsidRDefault="002E3D50" w:rsidP="00947BE2">
      <w:pPr>
        <w:pStyle w:val="Heading1"/>
        <w:rPr>
          <w:shd w:val="clear" w:color="auto" w:fill="FFFFFF"/>
        </w:rPr>
      </w:pPr>
    </w:p>
    <w:p w14:paraId="53B9E303" w14:textId="77777777" w:rsidR="002E3D50" w:rsidRDefault="002E3D50" w:rsidP="002E3D50">
      <w:pPr>
        <w:pStyle w:val="Heading1"/>
        <w:rPr>
          <w:shd w:val="clear" w:color="auto" w:fill="FFFFFF"/>
        </w:rPr>
      </w:pPr>
      <w:bookmarkStart w:id="9" w:name="_Toc26869238"/>
      <w:r>
        <w:rPr>
          <w:shd w:val="clear" w:color="auto" w:fill="FFFFFF"/>
        </w:rPr>
        <w:t>10.  FAST TRACK APPLICATIONS</w:t>
      </w:r>
      <w:bookmarkEnd w:id="9"/>
    </w:p>
    <w:p w14:paraId="1D46CF78" w14:textId="77777777" w:rsidR="002E3D50" w:rsidRPr="00D676E9" w:rsidRDefault="002E3D50" w:rsidP="00CE3AE1">
      <w:pPr>
        <w:autoSpaceDE w:val="0"/>
        <w:autoSpaceDN w:val="0"/>
        <w:adjustRightInd w:val="0"/>
        <w:spacing w:line="240" w:lineRule="auto"/>
        <w:rPr>
          <w:rFonts w:cs="Arial"/>
          <w:szCs w:val="22"/>
          <w:shd w:val="clear" w:color="auto" w:fill="FFFFFF"/>
        </w:rPr>
      </w:pPr>
    </w:p>
    <w:p w14:paraId="4091FF38" w14:textId="77777777" w:rsidR="007355FA" w:rsidRPr="00A57BBA" w:rsidRDefault="007355FA" w:rsidP="007355FA">
      <w:pPr>
        <w:autoSpaceDE w:val="0"/>
        <w:autoSpaceDN w:val="0"/>
        <w:adjustRightInd w:val="0"/>
        <w:spacing w:line="240" w:lineRule="auto"/>
        <w:rPr>
          <w:rFonts w:cs="Arial"/>
          <w:kern w:val="0"/>
          <w:szCs w:val="22"/>
          <w:lang w:eastAsia="en-US"/>
        </w:rPr>
      </w:pPr>
      <w:r w:rsidRPr="00A57BBA">
        <w:rPr>
          <w:rFonts w:cs="Arial"/>
          <w:kern w:val="0"/>
          <w:szCs w:val="22"/>
          <w:lang w:eastAsia="en-US"/>
        </w:rPr>
        <w:t xml:space="preserve">The Fast Track process is part of the National Framework for NHS Continuing Healthcare and Funded Nursing Care.  </w:t>
      </w:r>
    </w:p>
    <w:p w14:paraId="3BF8CBE7" w14:textId="77777777" w:rsidR="007355FA" w:rsidRPr="00A57BBA" w:rsidRDefault="007355FA" w:rsidP="007355FA">
      <w:pPr>
        <w:autoSpaceDE w:val="0"/>
        <w:autoSpaceDN w:val="0"/>
        <w:adjustRightInd w:val="0"/>
        <w:spacing w:line="240" w:lineRule="auto"/>
        <w:rPr>
          <w:rFonts w:cs="Arial"/>
          <w:kern w:val="0"/>
          <w:szCs w:val="22"/>
          <w:lang w:eastAsia="en-US"/>
        </w:rPr>
      </w:pPr>
    </w:p>
    <w:p w14:paraId="52B33E79" w14:textId="77777777" w:rsidR="00571147" w:rsidRDefault="00DF6247" w:rsidP="00A57BBA">
      <w:pPr>
        <w:autoSpaceDE w:val="0"/>
        <w:autoSpaceDN w:val="0"/>
        <w:adjustRightInd w:val="0"/>
        <w:spacing w:line="240" w:lineRule="auto"/>
        <w:rPr>
          <w:rFonts w:cs="Arial"/>
          <w:kern w:val="0"/>
          <w:szCs w:val="22"/>
          <w:lang w:eastAsia="en-US"/>
        </w:rPr>
      </w:pPr>
      <w:r w:rsidRPr="00A57BBA">
        <w:rPr>
          <w:rFonts w:cs="Arial"/>
          <w:kern w:val="0"/>
          <w:szCs w:val="22"/>
          <w:lang w:eastAsia="en-US"/>
        </w:rPr>
        <w:t>Individuals with a rapidly deteriorating condition that may be entering a terminal phase, may require ‘fast tracking’ for immediate provision of NHS Continuing Healthcare.</w:t>
      </w:r>
    </w:p>
    <w:p w14:paraId="417094D4" w14:textId="77777777" w:rsidR="00DF6247" w:rsidRPr="00A57BBA" w:rsidRDefault="00DF6247" w:rsidP="00A57BBA">
      <w:pPr>
        <w:autoSpaceDE w:val="0"/>
        <w:autoSpaceDN w:val="0"/>
        <w:adjustRightInd w:val="0"/>
        <w:spacing w:line="240" w:lineRule="auto"/>
        <w:rPr>
          <w:rFonts w:cs="Arial"/>
          <w:kern w:val="0"/>
          <w:szCs w:val="22"/>
          <w:lang w:eastAsia="en-US"/>
        </w:rPr>
      </w:pPr>
      <w:r w:rsidRPr="00A57BBA">
        <w:rPr>
          <w:rFonts w:cs="Arial"/>
          <w:kern w:val="0"/>
          <w:szCs w:val="22"/>
          <w:lang w:eastAsia="en-US"/>
        </w:rPr>
        <w:t xml:space="preserve"> </w:t>
      </w:r>
    </w:p>
    <w:p w14:paraId="170A5FEF" w14:textId="77777777" w:rsidR="00DF6247" w:rsidRDefault="00DF6247" w:rsidP="00A57BBA">
      <w:pPr>
        <w:autoSpaceDE w:val="0"/>
        <w:autoSpaceDN w:val="0"/>
        <w:adjustRightInd w:val="0"/>
        <w:spacing w:line="240" w:lineRule="auto"/>
        <w:rPr>
          <w:rFonts w:cs="Arial"/>
          <w:kern w:val="0"/>
          <w:szCs w:val="22"/>
          <w:lang w:eastAsia="en-US"/>
        </w:rPr>
      </w:pPr>
      <w:r w:rsidRPr="00A57BBA">
        <w:rPr>
          <w:rFonts w:cs="Arial"/>
          <w:kern w:val="0"/>
          <w:szCs w:val="22"/>
          <w:lang w:eastAsia="en-US"/>
        </w:rPr>
        <w:t>The intention of the Fast Track Pathway is that it should identify individuals who need to access NHS Continuing Healthcare quickly, with minimum delay, and with no requirement to complete the Checklist or the Decision Support Tool (DST). Therefore, the completed Fast Track Pathway Tool, which clearly evidences that an individual is both rapidly deteriorating and may be entering terminal phase, is in itself sufficient to establish eligibility.</w:t>
      </w:r>
    </w:p>
    <w:p w14:paraId="040F2247" w14:textId="77777777" w:rsidR="00571147" w:rsidRPr="00A57BBA" w:rsidRDefault="00571147" w:rsidP="00A57BBA">
      <w:pPr>
        <w:autoSpaceDE w:val="0"/>
        <w:autoSpaceDN w:val="0"/>
        <w:adjustRightInd w:val="0"/>
        <w:spacing w:line="240" w:lineRule="auto"/>
        <w:rPr>
          <w:rFonts w:cs="Arial"/>
          <w:kern w:val="0"/>
          <w:szCs w:val="22"/>
          <w:lang w:eastAsia="en-US"/>
        </w:rPr>
      </w:pPr>
    </w:p>
    <w:p w14:paraId="53A2B816" w14:textId="77777777" w:rsidR="00DF6247" w:rsidRDefault="00DF6247" w:rsidP="00A57BBA">
      <w:pPr>
        <w:autoSpaceDE w:val="0"/>
        <w:autoSpaceDN w:val="0"/>
        <w:adjustRightInd w:val="0"/>
        <w:spacing w:line="240" w:lineRule="auto"/>
        <w:rPr>
          <w:rFonts w:cs="Arial"/>
          <w:kern w:val="0"/>
          <w:szCs w:val="22"/>
          <w:lang w:eastAsia="en-US"/>
        </w:rPr>
      </w:pPr>
      <w:r w:rsidRPr="00A57BBA">
        <w:rPr>
          <w:rFonts w:cs="Arial"/>
          <w:kern w:val="0"/>
          <w:szCs w:val="22"/>
          <w:lang w:eastAsia="en-US"/>
        </w:rPr>
        <w:t>In Fast Track cases, the Standing Rules state that it is an ‘appropriate clinician’ who determines that the individual has a primary health need. The CCG must therefore determine that the individual is eligible for NHS Continuing Healthcare and should respond promptly and positively to ensure that the appropriate funding and care arrangeme</w:t>
      </w:r>
      <w:r w:rsidR="00A57BBA">
        <w:rPr>
          <w:rFonts w:cs="Arial"/>
          <w:kern w:val="0"/>
          <w:szCs w:val="22"/>
          <w:lang w:eastAsia="en-US"/>
        </w:rPr>
        <w:t>nts are in place without delay.</w:t>
      </w:r>
    </w:p>
    <w:p w14:paraId="247D09F9" w14:textId="77777777" w:rsidR="00A57BBA" w:rsidRPr="00A57BBA" w:rsidRDefault="00A57BBA" w:rsidP="00A57BBA">
      <w:pPr>
        <w:autoSpaceDE w:val="0"/>
        <w:autoSpaceDN w:val="0"/>
        <w:adjustRightInd w:val="0"/>
        <w:spacing w:line="240" w:lineRule="auto"/>
        <w:rPr>
          <w:rFonts w:cs="Arial"/>
          <w:kern w:val="0"/>
          <w:szCs w:val="22"/>
          <w:lang w:eastAsia="en-US"/>
        </w:rPr>
      </w:pPr>
    </w:p>
    <w:p w14:paraId="6BF45119" w14:textId="77777777" w:rsidR="00DF6247" w:rsidRDefault="00DF6247" w:rsidP="00A57BBA">
      <w:pPr>
        <w:autoSpaceDE w:val="0"/>
        <w:autoSpaceDN w:val="0"/>
        <w:adjustRightInd w:val="0"/>
        <w:spacing w:line="240" w:lineRule="auto"/>
        <w:rPr>
          <w:rFonts w:cs="Arial"/>
          <w:kern w:val="0"/>
          <w:szCs w:val="22"/>
          <w:lang w:eastAsia="en-US"/>
        </w:rPr>
      </w:pPr>
      <w:r w:rsidRPr="00A57BBA">
        <w:rPr>
          <w:rFonts w:cs="Arial"/>
          <w:kern w:val="0"/>
          <w:szCs w:val="22"/>
          <w:lang w:eastAsia="en-US"/>
        </w:rPr>
        <w:t xml:space="preserve">An ‘appropriate clinician’ is defined as a person who is: </w:t>
      </w:r>
    </w:p>
    <w:p w14:paraId="16D81C67" w14:textId="77777777" w:rsidR="00A57BBA" w:rsidRPr="00A57BBA" w:rsidRDefault="00A57BBA" w:rsidP="00A57BBA">
      <w:pPr>
        <w:autoSpaceDE w:val="0"/>
        <w:autoSpaceDN w:val="0"/>
        <w:adjustRightInd w:val="0"/>
        <w:spacing w:line="240" w:lineRule="auto"/>
        <w:rPr>
          <w:rFonts w:cs="Arial"/>
          <w:kern w:val="0"/>
          <w:szCs w:val="22"/>
          <w:lang w:eastAsia="en-US"/>
        </w:rPr>
      </w:pPr>
    </w:p>
    <w:p w14:paraId="7BC659AE" w14:textId="77777777" w:rsidR="00DF6247" w:rsidRPr="00A57BBA" w:rsidRDefault="00DF6247" w:rsidP="00A57BBA">
      <w:pPr>
        <w:numPr>
          <w:ilvl w:val="0"/>
          <w:numId w:val="50"/>
        </w:numPr>
        <w:autoSpaceDE w:val="0"/>
        <w:autoSpaceDN w:val="0"/>
        <w:adjustRightInd w:val="0"/>
        <w:spacing w:line="240" w:lineRule="auto"/>
        <w:ind w:left="284" w:hanging="284"/>
        <w:rPr>
          <w:rFonts w:cs="Arial"/>
          <w:kern w:val="0"/>
          <w:szCs w:val="22"/>
          <w:lang w:eastAsia="en-US"/>
        </w:rPr>
      </w:pPr>
      <w:r w:rsidRPr="00A57BBA">
        <w:rPr>
          <w:rFonts w:cs="Arial"/>
          <w:kern w:val="0"/>
          <w:szCs w:val="22"/>
          <w:lang w:eastAsia="en-US"/>
        </w:rPr>
        <w:t>responsible for the diagnosis, treatment or care of the individu</w:t>
      </w:r>
      <w:r w:rsidR="00A57BBA">
        <w:rPr>
          <w:rFonts w:cs="Arial"/>
          <w:kern w:val="0"/>
          <w:szCs w:val="22"/>
          <w:lang w:eastAsia="en-US"/>
        </w:rPr>
        <w:t xml:space="preserve">al under the 2006 Act in </w:t>
      </w:r>
      <w:r w:rsidRPr="00A57BBA">
        <w:rPr>
          <w:rFonts w:cs="Arial"/>
          <w:kern w:val="0"/>
          <w:szCs w:val="22"/>
          <w:lang w:eastAsia="en-US"/>
        </w:rPr>
        <w:t>respect of whom a Fast Track Pathway T</w:t>
      </w:r>
      <w:r w:rsidR="00A57BBA">
        <w:rPr>
          <w:rFonts w:cs="Arial"/>
          <w:kern w:val="0"/>
          <w:szCs w:val="22"/>
          <w:lang w:eastAsia="en-US"/>
        </w:rPr>
        <w:t>ool is being completed; and</w:t>
      </w:r>
    </w:p>
    <w:p w14:paraId="036B663F" w14:textId="77777777" w:rsidR="00DF6247" w:rsidRPr="00A57BBA" w:rsidRDefault="00DF6247" w:rsidP="00A57BBA">
      <w:pPr>
        <w:numPr>
          <w:ilvl w:val="0"/>
          <w:numId w:val="50"/>
        </w:numPr>
        <w:autoSpaceDE w:val="0"/>
        <w:autoSpaceDN w:val="0"/>
        <w:adjustRightInd w:val="0"/>
        <w:spacing w:line="240" w:lineRule="auto"/>
        <w:rPr>
          <w:rFonts w:cs="Arial"/>
          <w:kern w:val="0"/>
          <w:szCs w:val="22"/>
          <w:lang w:eastAsia="en-US"/>
        </w:rPr>
      </w:pPr>
      <w:r w:rsidRPr="00A57BBA">
        <w:rPr>
          <w:rFonts w:cs="Arial"/>
          <w:kern w:val="0"/>
          <w:szCs w:val="22"/>
          <w:lang w:eastAsia="en-US"/>
        </w:rPr>
        <w:t>a registered nurse or a registered medical practitioner.</w:t>
      </w:r>
    </w:p>
    <w:p w14:paraId="4A3E2014" w14:textId="77777777" w:rsidR="00A57BBA" w:rsidRDefault="00A57BBA" w:rsidP="00A57BBA">
      <w:pPr>
        <w:autoSpaceDE w:val="0"/>
        <w:autoSpaceDN w:val="0"/>
        <w:adjustRightInd w:val="0"/>
        <w:spacing w:line="240" w:lineRule="auto"/>
        <w:rPr>
          <w:rFonts w:cs="Arial"/>
          <w:kern w:val="0"/>
          <w:szCs w:val="22"/>
          <w:lang w:eastAsia="en-US"/>
        </w:rPr>
      </w:pPr>
    </w:p>
    <w:p w14:paraId="4C618B03" w14:textId="77777777" w:rsidR="00DF6247" w:rsidRDefault="00DF6247" w:rsidP="00A57BBA">
      <w:pPr>
        <w:autoSpaceDE w:val="0"/>
        <w:autoSpaceDN w:val="0"/>
        <w:adjustRightInd w:val="0"/>
        <w:spacing w:line="240" w:lineRule="auto"/>
        <w:rPr>
          <w:rFonts w:cs="Arial"/>
          <w:kern w:val="0"/>
          <w:szCs w:val="22"/>
          <w:lang w:eastAsia="en-US"/>
        </w:rPr>
      </w:pPr>
      <w:r w:rsidRPr="00A57BBA">
        <w:rPr>
          <w:rFonts w:cs="Arial"/>
          <w:kern w:val="0"/>
          <w:szCs w:val="22"/>
          <w:lang w:eastAsia="en-US"/>
        </w:rPr>
        <w:t>The ‘appropriate clinician’ should be knowledgeable about the individual’s health needs, diagnosis, treatment or care and be able to provide an assessment of why the individual meets the Fast Track Pathway Tool criteria.</w:t>
      </w:r>
    </w:p>
    <w:p w14:paraId="551ED392" w14:textId="77777777" w:rsidR="00A57BBA" w:rsidRPr="00A57BBA" w:rsidRDefault="00A57BBA" w:rsidP="00A57BBA">
      <w:pPr>
        <w:autoSpaceDE w:val="0"/>
        <w:autoSpaceDN w:val="0"/>
        <w:adjustRightInd w:val="0"/>
        <w:spacing w:line="240" w:lineRule="auto"/>
        <w:rPr>
          <w:rFonts w:cs="Arial"/>
          <w:kern w:val="0"/>
          <w:szCs w:val="22"/>
          <w:lang w:eastAsia="en-US"/>
        </w:rPr>
      </w:pPr>
    </w:p>
    <w:p w14:paraId="1AA76DF2" w14:textId="77777777" w:rsidR="00DF6247" w:rsidRPr="00A57BBA" w:rsidRDefault="00DF6247" w:rsidP="00A57BBA">
      <w:pPr>
        <w:autoSpaceDE w:val="0"/>
        <w:autoSpaceDN w:val="0"/>
        <w:adjustRightInd w:val="0"/>
        <w:spacing w:line="240" w:lineRule="auto"/>
        <w:rPr>
          <w:rFonts w:cs="Arial"/>
          <w:kern w:val="0"/>
          <w:szCs w:val="22"/>
          <w:lang w:eastAsia="en-US"/>
        </w:rPr>
      </w:pPr>
      <w:r w:rsidRPr="00A57BBA">
        <w:rPr>
          <w:rFonts w:cs="Arial"/>
          <w:kern w:val="0"/>
          <w:szCs w:val="22"/>
          <w:lang w:eastAsia="en-US"/>
        </w:rPr>
        <w:t xml:space="preserve">The application </w:t>
      </w:r>
      <w:r w:rsidRPr="00A57BBA">
        <w:rPr>
          <w:rFonts w:cs="Arial"/>
          <w:b/>
          <w:kern w:val="0"/>
          <w:szCs w:val="22"/>
          <w:lang w:eastAsia="en-US"/>
        </w:rPr>
        <w:t>must</w:t>
      </w:r>
      <w:r w:rsidR="00A57BBA">
        <w:rPr>
          <w:rFonts w:cs="Arial"/>
          <w:kern w:val="0"/>
          <w:szCs w:val="22"/>
          <w:lang w:eastAsia="en-US"/>
        </w:rPr>
        <w:t xml:space="preserve"> include a </w:t>
      </w:r>
      <w:r w:rsidRPr="00A57BBA">
        <w:rPr>
          <w:rFonts w:cs="Arial"/>
          <w:kern w:val="0"/>
          <w:szCs w:val="22"/>
          <w:lang w:eastAsia="en-US"/>
        </w:rPr>
        <w:t xml:space="preserve">care plan which provides a full description of the assessed care needs and the care package being requested </w:t>
      </w:r>
    </w:p>
    <w:p w14:paraId="24319197" w14:textId="77777777" w:rsidR="004A0C47" w:rsidRPr="00DF6247" w:rsidRDefault="004A0C47" w:rsidP="00AF1827">
      <w:pPr>
        <w:spacing w:line="276" w:lineRule="auto"/>
        <w:rPr>
          <w:rFonts w:cs="Arial"/>
          <w:color w:val="FF0000"/>
          <w:kern w:val="0"/>
          <w:szCs w:val="22"/>
          <w:lang w:val="en-US" w:eastAsia="en-US"/>
        </w:rPr>
      </w:pPr>
    </w:p>
    <w:p w14:paraId="1CAB1BEF" w14:textId="77777777" w:rsidR="002E3D50" w:rsidRPr="00A868F0" w:rsidRDefault="002E3D50" w:rsidP="00CE3AE1">
      <w:pPr>
        <w:autoSpaceDE w:val="0"/>
        <w:autoSpaceDN w:val="0"/>
        <w:adjustRightInd w:val="0"/>
        <w:spacing w:line="240" w:lineRule="auto"/>
        <w:rPr>
          <w:rFonts w:cs="Arial"/>
          <w:kern w:val="0"/>
          <w:szCs w:val="22"/>
          <w:lang w:eastAsia="en-US"/>
        </w:rPr>
      </w:pPr>
      <w:r w:rsidRPr="00A868F0">
        <w:rPr>
          <w:rFonts w:cs="Arial"/>
          <w:kern w:val="0"/>
          <w:szCs w:val="22"/>
          <w:lang w:eastAsia="en-US"/>
        </w:rPr>
        <w:t>The decisions of NEL Clinical Commissioning Group are communicated to the individual patients, or their representative and the appropriate social care representative via formal letter.</w:t>
      </w:r>
    </w:p>
    <w:p w14:paraId="6B5B5DA3" w14:textId="77777777" w:rsidR="002E3D50" w:rsidRPr="00A868F0" w:rsidRDefault="002E3D50" w:rsidP="002E3D50">
      <w:pPr>
        <w:spacing w:line="240" w:lineRule="auto"/>
        <w:ind w:right="425"/>
        <w:rPr>
          <w:rFonts w:cs="Arial"/>
          <w:kern w:val="0"/>
          <w:szCs w:val="22"/>
          <w:lang w:eastAsia="en-US"/>
        </w:rPr>
      </w:pPr>
    </w:p>
    <w:p w14:paraId="2B2430CD" w14:textId="77777777" w:rsidR="002E3D50" w:rsidRPr="00A868F0" w:rsidRDefault="002E3D50" w:rsidP="003E2831">
      <w:pPr>
        <w:autoSpaceDE w:val="0"/>
        <w:autoSpaceDN w:val="0"/>
        <w:adjustRightInd w:val="0"/>
        <w:spacing w:line="240" w:lineRule="auto"/>
        <w:rPr>
          <w:rFonts w:cs="Arial"/>
          <w:kern w:val="0"/>
          <w:szCs w:val="22"/>
          <w:lang w:eastAsia="en-US"/>
        </w:rPr>
      </w:pPr>
      <w:r w:rsidRPr="00A868F0">
        <w:rPr>
          <w:rFonts w:cs="Arial"/>
          <w:kern w:val="0"/>
          <w:szCs w:val="22"/>
          <w:lang w:eastAsia="en-US"/>
        </w:rPr>
        <w:lastRenderedPageBreak/>
        <w:t>Where an individual has been found ineligible for NHS continuing healthcare, individual patients, or their representative</w:t>
      </w:r>
      <w:r w:rsidR="00AD473C">
        <w:rPr>
          <w:rFonts w:cs="Arial"/>
          <w:kern w:val="0"/>
          <w:szCs w:val="22"/>
          <w:lang w:eastAsia="en-US"/>
        </w:rPr>
        <w:t xml:space="preserve"> if they have the legal authority to act on behalf of the patient</w:t>
      </w:r>
      <w:r w:rsidRPr="00A868F0">
        <w:rPr>
          <w:rFonts w:cs="Arial"/>
          <w:kern w:val="0"/>
          <w:szCs w:val="22"/>
          <w:lang w:eastAsia="en-US"/>
        </w:rPr>
        <w:t>, can appeal N</w:t>
      </w:r>
      <w:r w:rsidR="00020A26">
        <w:rPr>
          <w:rFonts w:cs="Arial"/>
          <w:kern w:val="0"/>
          <w:szCs w:val="22"/>
          <w:lang w:eastAsia="en-US"/>
        </w:rPr>
        <w:t xml:space="preserve">orth </w:t>
      </w:r>
      <w:r w:rsidRPr="00A868F0">
        <w:rPr>
          <w:rFonts w:cs="Arial"/>
          <w:kern w:val="0"/>
          <w:szCs w:val="22"/>
          <w:lang w:eastAsia="en-US"/>
        </w:rPr>
        <w:t>E</w:t>
      </w:r>
      <w:r w:rsidR="00020A26">
        <w:rPr>
          <w:rFonts w:cs="Arial"/>
          <w:kern w:val="0"/>
          <w:szCs w:val="22"/>
          <w:lang w:eastAsia="en-US"/>
        </w:rPr>
        <w:t xml:space="preserve">ast </w:t>
      </w:r>
      <w:r w:rsidRPr="00A868F0">
        <w:rPr>
          <w:rFonts w:cs="Arial"/>
          <w:kern w:val="0"/>
          <w:szCs w:val="22"/>
          <w:lang w:eastAsia="en-US"/>
        </w:rPr>
        <w:t>L</w:t>
      </w:r>
      <w:r w:rsidR="00020A26">
        <w:rPr>
          <w:rFonts w:cs="Arial"/>
          <w:kern w:val="0"/>
          <w:szCs w:val="22"/>
          <w:lang w:eastAsia="en-US"/>
        </w:rPr>
        <w:t>incolnshire</w:t>
      </w:r>
      <w:r w:rsidRPr="00A868F0">
        <w:rPr>
          <w:rFonts w:cs="Arial"/>
          <w:kern w:val="0"/>
          <w:szCs w:val="22"/>
          <w:lang w:eastAsia="en-US"/>
        </w:rPr>
        <w:t xml:space="preserve"> Clinical Commissioning Group’s decision in writing within 6 months of the notification of eligibility decision. When an appeal is received this is acknowledged and the evidence is reviewed by the </w:t>
      </w:r>
      <w:r>
        <w:rPr>
          <w:rFonts w:cs="Arial"/>
          <w:kern w:val="0"/>
          <w:szCs w:val="22"/>
          <w:lang w:eastAsia="en-US"/>
        </w:rPr>
        <w:t>N</w:t>
      </w:r>
      <w:r w:rsidR="00020A26">
        <w:rPr>
          <w:rFonts w:cs="Arial"/>
          <w:kern w:val="0"/>
          <w:szCs w:val="22"/>
          <w:lang w:eastAsia="en-US"/>
        </w:rPr>
        <w:t xml:space="preserve">orth </w:t>
      </w:r>
      <w:r>
        <w:rPr>
          <w:rFonts w:cs="Arial"/>
          <w:kern w:val="0"/>
          <w:szCs w:val="22"/>
          <w:lang w:eastAsia="en-US"/>
        </w:rPr>
        <w:t>E</w:t>
      </w:r>
      <w:r w:rsidR="00020A26">
        <w:rPr>
          <w:rFonts w:cs="Arial"/>
          <w:kern w:val="0"/>
          <w:szCs w:val="22"/>
          <w:lang w:eastAsia="en-US"/>
        </w:rPr>
        <w:t xml:space="preserve">ast </w:t>
      </w:r>
      <w:r>
        <w:rPr>
          <w:rFonts w:cs="Arial"/>
          <w:kern w:val="0"/>
          <w:szCs w:val="22"/>
          <w:lang w:eastAsia="en-US"/>
        </w:rPr>
        <w:t>L</w:t>
      </w:r>
      <w:r w:rsidR="00020A26">
        <w:rPr>
          <w:rFonts w:cs="Arial"/>
          <w:kern w:val="0"/>
          <w:szCs w:val="22"/>
          <w:lang w:eastAsia="en-US"/>
        </w:rPr>
        <w:t xml:space="preserve">incolnshire </w:t>
      </w:r>
      <w:r>
        <w:rPr>
          <w:rFonts w:cs="Arial"/>
          <w:kern w:val="0"/>
          <w:szCs w:val="22"/>
          <w:lang w:eastAsia="en-US"/>
        </w:rPr>
        <w:t>C</w:t>
      </w:r>
      <w:r w:rsidR="00020A26">
        <w:rPr>
          <w:rFonts w:cs="Arial"/>
          <w:kern w:val="0"/>
          <w:szCs w:val="22"/>
          <w:lang w:eastAsia="en-US"/>
        </w:rPr>
        <w:t xml:space="preserve">linical </w:t>
      </w:r>
      <w:r>
        <w:rPr>
          <w:rFonts w:cs="Arial"/>
          <w:kern w:val="0"/>
          <w:szCs w:val="22"/>
          <w:lang w:eastAsia="en-US"/>
        </w:rPr>
        <w:t>C</w:t>
      </w:r>
      <w:r w:rsidR="00020A26">
        <w:rPr>
          <w:rFonts w:cs="Arial"/>
          <w:kern w:val="0"/>
          <w:szCs w:val="22"/>
          <w:lang w:eastAsia="en-US"/>
        </w:rPr>
        <w:t xml:space="preserve">ommissioning </w:t>
      </w:r>
      <w:r>
        <w:rPr>
          <w:rFonts w:cs="Arial"/>
          <w:kern w:val="0"/>
          <w:szCs w:val="22"/>
          <w:lang w:eastAsia="en-US"/>
        </w:rPr>
        <w:t>G</w:t>
      </w:r>
      <w:r w:rsidR="00020A26">
        <w:rPr>
          <w:rFonts w:cs="Arial"/>
          <w:kern w:val="0"/>
          <w:szCs w:val="22"/>
          <w:lang w:eastAsia="en-US"/>
        </w:rPr>
        <w:t xml:space="preserve">roup’s </w:t>
      </w:r>
      <w:r>
        <w:rPr>
          <w:rFonts w:cs="Arial"/>
          <w:kern w:val="0"/>
          <w:szCs w:val="22"/>
          <w:lang w:eastAsia="en-US"/>
        </w:rPr>
        <w:t>C</w:t>
      </w:r>
      <w:r w:rsidR="00020A26">
        <w:rPr>
          <w:rFonts w:cs="Arial"/>
          <w:kern w:val="0"/>
          <w:szCs w:val="22"/>
          <w:lang w:eastAsia="en-US"/>
        </w:rPr>
        <w:t xml:space="preserve">ontinuing </w:t>
      </w:r>
      <w:r>
        <w:rPr>
          <w:rFonts w:cs="Arial"/>
          <w:kern w:val="0"/>
          <w:szCs w:val="22"/>
          <w:lang w:eastAsia="en-US"/>
        </w:rPr>
        <w:t>H</w:t>
      </w:r>
      <w:r w:rsidR="00020A26">
        <w:rPr>
          <w:rFonts w:cs="Arial"/>
          <w:kern w:val="0"/>
          <w:szCs w:val="22"/>
          <w:lang w:eastAsia="en-US"/>
        </w:rPr>
        <w:t xml:space="preserve">ealth </w:t>
      </w:r>
      <w:r>
        <w:rPr>
          <w:rFonts w:cs="Arial"/>
          <w:kern w:val="0"/>
          <w:szCs w:val="22"/>
          <w:lang w:eastAsia="en-US"/>
        </w:rPr>
        <w:t>C</w:t>
      </w:r>
      <w:r w:rsidR="00020A26">
        <w:rPr>
          <w:rFonts w:cs="Arial"/>
          <w:kern w:val="0"/>
          <w:szCs w:val="22"/>
          <w:lang w:eastAsia="en-US"/>
        </w:rPr>
        <w:t>are</w:t>
      </w:r>
      <w:r>
        <w:rPr>
          <w:rFonts w:cs="Arial"/>
          <w:kern w:val="0"/>
          <w:szCs w:val="22"/>
          <w:lang w:eastAsia="en-US"/>
        </w:rPr>
        <w:t xml:space="preserve"> </w:t>
      </w:r>
      <w:r w:rsidRPr="00A868F0">
        <w:rPr>
          <w:rFonts w:cs="Arial"/>
          <w:kern w:val="0"/>
          <w:szCs w:val="22"/>
          <w:lang w:eastAsia="en-US"/>
        </w:rPr>
        <w:t>Specialist</w:t>
      </w:r>
      <w:r>
        <w:rPr>
          <w:rFonts w:cs="Arial"/>
          <w:kern w:val="0"/>
          <w:szCs w:val="22"/>
          <w:lang w:eastAsia="en-US"/>
        </w:rPr>
        <w:t xml:space="preserve"> Nurse, </w:t>
      </w:r>
      <w:r w:rsidRPr="00A868F0">
        <w:rPr>
          <w:rFonts w:cs="Arial"/>
          <w:kern w:val="0"/>
          <w:szCs w:val="22"/>
          <w:lang w:eastAsia="en-US"/>
        </w:rPr>
        <w:t>if the appeal is not resolved at this stage an offer of a formal Local resolution meeting with the individual patient or their representative is made to go through the process of decision and rationale for the decision.</w:t>
      </w:r>
    </w:p>
    <w:p w14:paraId="2670E23F" w14:textId="77777777" w:rsidR="002E3D50" w:rsidRPr="00A868F0" w:rsidRDefault="002E3D50" w:rsidP="00CE3AE1">
      <w:pPr>
        <w:spacing w:line="240" w:lineRule="auto"/>
        <w:ind w:right="425"/>
        <w:rPr>
          <w:rFonts w:cs="Arial"/>
          <w:kern w:val="0"/>
          <w:szCs w:val="22"/>
          <w:lang w:eastAsia="en-US"/>
        </w:rPr>
      </w:pPr>
    </w:p>
    <w:p w14:paraId="53A44016" w14:textId="77777777" w:rsidR="002E3D50" w:rsidRPr="00A868F0" w:rsidRDefault="002E3D50" w:rsidP="00CE3AE1">
      <w:pPr>
        <w:autoSpaceDE w:val="0"/>
        <w:autoSpaceDN w:val="0"/>
        <w:adjustRightInd w:val="0"/>
        <w:spacing w:line="240" w:lineRule="auto"/>
        <w:rPr>
          <w:rFonts w:cs="Arial"/>
          <w:kern w:val="0"/>
          <w:szCs w:val="22"/>
          <w:lang w:eastAsia="en-US"/>
        </w:rPr>
      </w:pPr>
      <w:r w:rsidRPr="00A868F0">
        <w:rPr>
          <w:rFonts w:cs="Arial"/>
          <w:kern w:val="0"/>
          <w:szCs w:val="22"/>
          <w:lang w:eastAsia="en-US"/>
        </w:rPr>
        <w:t xml:space="preserve">The Local Resolution Review Panel will be independent of the initial MDT decision makers that made the eligibility </w:t>
      </w:r>
      <w:r w:rsidRPr="00CE3AE1">
        <w:rPr>
          <w:rFonts w:cs="Arial"/>
          <w:color w:val="000000"/>
          <w:kern w:val="0"/>
          <w:szCs w:val="22"/>
        </w:rPr>
        <w:t>recommendation</w:t>
      </w:r>
      <w:r w:rsidRPr="00A868F0">
        <w:rPr>
          <w:rFonts w:cs="Arial"/>
          <w:kern w:val="0"/>
          <w:szCs w:val="22"/>
          <w:lang w:eastAsia="en-US"/>
        </w:rPr>
        <w:t>.</w:t>
      </w:r>
    </w:p>
    <w:p w14:paraId="5F3B647B" w14:textId="77777777" w:rsidR="002E3D50" w:rsidRPr="00A868F0" w:rsidRDefault="002E3D50" w:rsidP="00CE3AE1">
      <w:pPr>
        <w:spacing w:line="240" w:lineRule="auto"/>
        <w:ind w:right="425"/>
        <w:rPr>
          <w:rFonts w:cs="Arial"/>
          <w:kern w:val="0"/>
          <w:szCs w:val="22"/>
          <w:lang w:eastAsia="en-US"/>
        </w:rPr>
      </w:pPr>
    </w:p>
    <w:p w14:paraId="048AB062" w14:textId="77777777" w:rsidR="002E3D50" w:rsidRPr="00A868F0" w:rsidRDefault="002E3D50" w:rsidP="00CE3AE1">
      <w:pPr>
        <w:autoSpaceDE w:val="0"/>
        <w:autoSpaceDN w:val="0"/>
        <w:adjustRightInd w:val="0"/>
        <w:spacing w:line="240" w:lineRule="auto"/>
        <w:rPr>
          <w:rFonts w:cs="Arial"/>
          <w:kern w:val="0"/>
          <w:szCs w:val="22"/>
          <w:lang w:eastAsia="en-US"/>
        </w:rPr>
      </w:pPr>
      <w:r w:rsidRPr="00A868F0">
        <w:rPr>
          <w:rFonts w:cs="Arial"/>
          <w:kern w:val="0"/>
          <w:szCs w:val="22"/>
          <w:lang w:eastAsia="en-US"/>
        </w:rPr>
        <w:t xml:space="preserve">The individual patient, </w:t>
      </w:r>
      <w:r w:rsidRPr="00CE3AE1">
        <w:rPr>
          <w:rFonts w:cs="Arial"/>
          <w:color w:val="000000"/>
          <w:kern w:val="0"/>
          <w:szCs w:val="22"/>
        </w:rPr>
        <w:t>or</w:t>
      </w:r>
      <w:r w:rsidRPr="00A868F0">
        <w:rPr>
          <w:rFonts w:cs="Arial"/>
          <w:kern w:val="0"/>
          <w:szCs w:val="22"/>
          <w:lang w:eastAsia="en-US"/>
        </w:rPr>
        <w:t xml:space="preserve"> their representative, will be asked to submit evidence on why they disagree with the CCG’s decision and to specify those areas of disagreement. Families and individuals are encouraged to attend Local Resolution Panel meeting and to participate in the discussions. </w:t>
      </w:r>
      <w:r w:rsidRPr="009E79CE">
        <w:rPr>
          <w:rFonts w:cs="Arial"/>
          <w:kern w:val="0"/>
          <w:szCs w:val="22"/>
          <w:lang w:eastAsia="en-US"/>
        </w:rPr>
        <w:t>(Appendix 3)</w:t>
      </w:r>
    </w:p>
    <w:p w14:paraId="579D5014" w14:textId="77777777" w:rsidR="002E3D50" w:rsidRPr="00A868F0" w:rsidRDefault="002E3D50" w:rsidP="00CE3AE1">
      <w:pPr>
        <w:spacing w:line="240" w:lineRule="auto"/>
        <w:ind w:right="425"/>
        <w:rPr>
          <w:rFonts w:cs="Arial"/>
          <w:kern w:val="0"/>
          <w:szCs w:val="22"/>
          <w:lang w:eastAsia="en-US"/>
        </w:rPr>
      </w:pPr>
    </w:p>
    <w:p w14:paraId="4915FD1C" w14:textId="77777777" w:rsidR="003A4F5C" w:rsidRDefault="002E3D50" w:rsidP="00CE3AE1">
      <w:pPr>
        <w:autoSpaceDE w:val="0"/>
        <w:autoSpaceDN w:val="0"/>
        <w:adjustRightInd w:val="0"/>
        <w:spacing w:line="240" w:lineRule="auto"/>
        <w:rPr>
          <w:rFonts w:cs="Arial"/>
          <w:kern w:val="0"/>
          <w:szCs w:val="22"/>
          <w:lang w:eastAsia="en-US"/>
        </w:rPr>
      </w:pPr>
      <w:r w:rsidRPr="003A4F5C">
        <w:rPr>
          <w:rFonts w:cs="Arial"/>
          <w:kern w:val="0"/>
          <w:szCs w:val="22"/>
          <w:lang w:eastAsia="en-US"/>
        </w:rPr>
        <w:t xml:space="preserve">Where an individual </w:t>
      </w:r>
      <w:r w:rsidRPr="003A4F5C">
        <w:rPr>
          <w:rFonts w:cs="Arial"/>
          <w:color w:val="000000"/>
          <w:kern w:val="0"/>
          <w:szCs w:val="22"/>
        </w:rPr>
        <w:t>remains</w:t>
      </w:r>
      <w:r w:rsidRPr="003A4F5C">
        <w:rPr>
          <w:rFonts w:cs="Arial"/>
          <w:kern w:val="0"/>
          <w:szCs w:val="22"/>
          <w:lang w:eastAsia="en-US"/>
        </w:rPr>
        <w:t xml:space="preserve"> dis-satisfied by the Local Resolution Panel outcome they can request an Independent R</w:t>
      </w:r>
      <w:r w:rsidR="003A4F5C" w:rsidRPr="003A4F5C">
        <w:rPr>
          <w:rFonts w:cs="Arial"/>
          <w:kern w:val="0"/>
          <w:szCs w:val="22"/>
          <w:lang w:eastAsia="en-US"/>
        </w:rPr>
        <w:t>eview by writing to NHS England</w:t>
      </w:r>
      <w:r w:rsidR="003A4F5C">
        <w:rPr>
          <w:rFonts w:cs="Arial"/>
          <w:kern w:val="0"/>
          <w:szCs w:val="22"/>
          <w:lang w:eastAsia="en-US"/>
        </w:rPr>
        <w:t xml:space="preserve"> North at:</w:t>
      </w:r>
      <w:r>
        <w:rPr>
          <w:rFonts w:cs="Arial"/>
          <w:kern w:val="0"/>
          <w:szCs w:val="22"/>
          <w:lang w:eastAsia="en-US"/>
        </w:rPr>
        <w:t xml:space="preserve">  </w:t>
      </w:r>
    </w:p>
    <w:p w14:paraId="6B9BFFF3" w14:textId="77777777" w:rsidR="003A4F5C" w:rsidRDefault="003A4F5C" w:rsidP="00CE3AE1">
      <w:pPr>
        <w:autoSpaceDE w:val="0"/>
        <w:autoSpaceDN w:val="0"/>
        <w:adjustRightInd w:val="0"/>
        <w:spacing w:line="240" w:lineRule="auto"/>
        <w:rPr>
          <w:rFonts w:cs="Arial"/>
          <w:kern w:val="0"/>
          <w:szCs w:val="22"/>
          <w:lang w:eastAsia="en-US"/>
        </w:rPr>
      </w:pPr>
    </w:p>
    <w:p w14:paraId="5AB6F2E1" w14:textId="77777777" w:rsidR="003A4F5C" w:rsidRPr="003A4F5C" w:rsidRDefault="003A4F5C" w:rsidP="003A4F5C">
      <w:pPr>
        <w:autoSpaceDE w:val="0"/>
        <w:autoSpaceDN w:val="0"/>
        <w:adjustRightInd w:val="0"/>
        <w:spacing w:line="240" w:lineRule="auto"/>
        <w:jc w:val="left"/>
        <w:rPr>
          <w:rFonts w:cs="Arial"/>
          <w:kern w:val="0"/>
          <w:szCs w:val="22"/>
          <w:lang w:eastAsia="en-US"/>
        </w:rPr>
      </w:pPr>
      <w:r w:rsidRPr="003A4F5C">
        <w:rPr>
          <w:rFonts w:cs="Arial"/>
          <w:kern w:val="0"/>
          <w:szCs w:val="22"/>
          <w:lang w:eastAsia="en-US"/>
        </w:rPr>
        <w:t>3 Leeds City Office Park</w:t>
      </w:r>
      <w:r w:rsidRPr="003A4F5C">
        <w:rPr>
          <w:rFonts w:cs="Arial"/>
          <w:kern w:val="0"/>
          <w:szCs w:val="22"/>
          <w:lang w:eastAsia="en-US"/>
        </w:rPr>
        <w:br/>
        <w:t>Meadow Lane</w:t>
      </w:r>
      <w:r w:rsidRPr="003A4F5C">
        <w:rPr>
          <w:rFonts w:cs="Arial"/>
          <w:kern w:val="0"/>
          <w:szCs w:val="22"/>
          <w:lang w:eastAsia="en-US"/>
        </w:rPr>
        <w:br/>
        <w:t>Leeds</w:t>
      </w:r>
      <w:r w:rsidRPr="003A4F5C">
        <w:rPr>
          <w:rFonts w:cs="Arial"/>
          <w:kern w:val="0"/>
          <w:szCs w:val="22"/>
          <w:lang w:eastAsia="en-US"/>
        </w:rPr>
        <w:br/>
        <w:t>West Yorkshire</w:t>
      </w:r>
      <w:r w:rsidRPr="003A4F5C">
        <w:rPr>
          <w:rFonts w:cs="Arial"/>
          <w:kern w:val="0"/>
          <w:szCs w:val="22"/>
          <w:lang w:eastAsia="en-US"/>
        </w:rPr>
        <w:br/>
        <w:t>LS11 5BD</w:t>
      </w:r>
    </w:p>
    <w:p w14:paraId="37908744" w14:textId="77777777" w:rsidR="002E3D50" w:rsidRPr="00A868F0" w:rsidRDefault="002E3D50" w:rsidP="00CE3AE1">
      <w:pPr>
        <w:spacing w:line="240" w:lineRule="auto"/>
        <w:ind w:right="425"/>
        <w:rPr>
          <w:rFonts w:cs="Arial"/>
          <w:kern w:val="0"/>
          <w:szCs w:val="22"/>
          <w:lang w:eastAsia="en-US"/>
        </w:rPr>
      </w:pPr>
    </w:p>
    <w:p w14:paraId="3EA21A43" w14:textId="77777777" w:rsidR="002E3D50" w:rsidRPr="00020A26" w:rsidRDefault="00020A26" w:rsidP="00CE3AE1">
      <w:pPr>
        <w:autoSpaceDE w:val="0"/>
        <w:autoSpaceDN w:val="0"/>
        <w:adjustRightInd w:val="0"/>
        <w:spacing w:line="240" w:lineRule="auto"/>
        <w:rPr>
          <w:rFonts w:cs="Arial"/>
          <w:color w:val="000000"/>
          <w:kern w:val="0"/>
          <w:szCs w:val="22"/>
        </w:rPr>
      </w:pPr>
      <w:r>
        <w:rPr>
          <w:rFonts w:cs="Arial"/>
          <w:color w:val="000000"/>
          <w:kern w:val="0"/>
          <w:szCs w:val="22"/>
        </w:rPr>
        <w:t>Local Authorities</w:t>
      </w:r>
      <w:r w:rsidR="002E3D50" w:rsidRPr="00A868F0">
        <w:rPr>
          <w:rFonts w:cs="Arial"/>
          <w:color w:val="000000"/>
          <w:kern w:val="0"/>
          <w:szCs w:val="22"/>
        </w:rPr>
        <w:t xml:space="preserve"> and their employees are not able to appeal against a decision made by N</w:t>
      </w:r>
      <w:r w:rsidR="00900ABA">
        <w:rPr>
          <w:rFonts w:cs="Arial"/>
          <w:color w:val="000000"/>
          <w:kern w:val="0"/>
          <w:szCs w:val="22"/>
        </w:rPr>
        <w:t xml:space="preserve">orth </w:t>
      </w:r>
      <w:r w:rsidR="002E3D50" w:rsidRPr="00A868F0">
        <w:rPr>
          <w:rFonts w:cs="Arial"/>
          <w:color w:val="000000"/>
          <w:kern w:val="0"/>
          <w:szCs w:val="22"/>
        </w:rPr>
        <w:t>E</w:t>
      </w:r>
      <w:r w:rsidR="00900ABA">
        <w:rPr>
          <w:rFonts w:cs="Arial"/>
          <w:color w:val="000000"/>
          <w:kern w:val="0"/>
          <w:szCs w:val="22"/>
        </w:rPr>
        <w:t xml:space="preserve">ast </w:t>
      </w:r>
      <w:r w:rsidR="002E3D50" w:rsidRPr="00A868F0">
        <w:rPr>
          <w:rFonts w:cs="Arial"/>
          <w:color w:val="000000"/>
          <w:kern w:val="0"/>
          <w:szCs w:val="22"/>
        </w:rPr>
        <w:t>L</w:t>
      </w:r>
      <w:r w:rsidR="00900ABA">
        <w:rPr>
          <w:rFonts w:cs="Arial"/>
          <w:color w:val="000000"/>
          <w:kern w:val="0"/>
          <w:szCs w:val="22"/>
        </w:rPr>
        <w:t>incolns</w:t>
      </w:r>
      <w:r>
        <w:rPr>
          <w:rFonts w:cs="Arial"/>
          <w:color w:val="000000"/>
          <w:kern w:val="0"/>
          <w:szCs w:val="22"/>
        </w:rPr>
        <w:t>h</w:t>
      </w:r>
      <w:r w:rsidR="00900ABA">
        <w:rPr>
          <w:rFonts w:cs="Arial"/>
          <w:color w:val="000000"/>
          <w:kern w:val="0"/>
          <w:szCs w:val="22"/>
        </w:rPr>
        <w:t>ire</w:t>
      </w:r>
      <w:r w:rsidR="002E3D50" w:rsidRPr="00A868F0">
        <w:rPr>
          <w:rFonts w:cs="Arial"/>
          <w:color w:val="000000"/>
          <w:kern w:val="0"/>
          <w:szCs w:val="22"/>
        </w:rPr>
        <w:t xml:space="preserve"> Clinical Commissioning Group on behalf of a client. Appeals may only be made by individual applicants themselves or their representative. N</w:t>
      </w:r>
      <w:r>
        <w:rPr>
          <w:rFonts w:cs="Arial"/>
          <w:color w:val="000000"/>
          <w:kern w:val="0"/>
          <w:szCs w:val="22"/>
        </w:rPr>
        <w:t xml:space="preserve">orth </w:t>
      </w:r>
      <w:r w:rsidR="002E3D50" w:rsidRPr="00A868F0">
        <w:rPr>
          <w:rFonts w:cs="Arial"/>
          <w:color w:val="000000"/>
          <w:kern w:val="0"/>
          <w:szCs w:val="22"/>
        </w:rPr>
        <w:t>E</w:t>
      </w:r>
      <w:r>
        <w:rPr>
          <w:rFonts w:cs="Arial"/>
          <w:color w:val="000000"/>
          <w:kern w:val="0"/>
          <w:szCs w:val="22"/>
        </w:rPr>
        <w:t xml:space="preserve">ast </w:t>
      </w:r>
      <w:r w:rsidR="002E3D50" w:rsidRPr="00A868F0">
        <w:rPr>
          <w:rFonts w:cs="Arial"/>
          <w:color w:val="000000"/>
          <w:kern w:val="0"/>
          <w:szCs w:val="22"/>
        </w:rPr>
        <w:t>L</w:t>
      </w:r>
      <w:r>
        <w:rPr>
          <w:rFonts w:cs="Arial"/>
          <w:color w:val="000000"/>
          <w:kern w:val="0"/>
          <w:szCs w:val="22"/>
        </w:rPr>
        <w:t>incolnshire</w:t>
      </w:r>
      <w:r w:rsidR="002E3D50" w:rsidRPr="00A868F0">
        <w:rPr>
          <w:rFonts w:cs="Arial"/>
          <w:color w:val="000000"/>
          <w:kern w:val="0"/>
          <w:szCs w:val="22"/>
        </w:rPr>
        <w:t xml:space="preserve"> Local Authority may disagree with the </w:t>
      </w:r>
      <w:r>
        <w:rPr>
          <w:rFonts w:cs="Arial"/>
          <w:color w:val="000000"/>
          <w:kern w:val="0"/>
          <w:szCs w:val="22"/>
        </w:rPr>
        <w:t xml:space="preserve">North East Lincolnshire </w:t>
      </w:r>
      <w:r w:rsidR="002E3D50" w:rsidRPr="00A868F0">
        <w:rPr>
          <w:rFonts w:cs="Arial"/>
          <w:color w:val="000000"/>
          <w:kern w:val="0"/>
          <w:szCs w:val="22"/>
        </w:rPr>
        <w:t>C</w:t>
      </w:r>
      <w:r>
        <w:rPr>
          <w:rFonts w:cs="Arial"/>
          <w:color w:val="000000"/>
          <w:kern w:val="0"/>
          <w:szCs w:val="22"/>
        </w:rPr>
        <w:t xml:space="preserve">linical </w:t>
      </w:r>
      <w:r w:rsidR="002E3D50" w:rsidRPr="00A868F0">
        <w:rPr>
          <w:rFonts w:cs="Arial"/>
          <w:color w:val="000000"/>
          <w:kern w:val="0"/>
          <w:szCs w:val="22"/>
        </w:rPr>
        <w:t>C</w:t>
      </w:r>
      <w:r>
        <w:rPr>
          <w:rFonts w:cs="Arial"/>
          <w:color w:val="000000"/>
          <w:kern w:val="0"/>
          <w:szCs w:val="22"/>
        </w:rPr>
        <w:t xml:space="preserve">ommissioning </w:t>
      </w:r>
      <w:r w:rsidR="002E3D50" w:rsidRPr="00A868F0">
        <w:rPr>
          <w:rFonts w:cs="Arial"/>
          <w:color w:val="000000"/>
          <w:kern w:val="0"/>
          <w:szCs w:val="22"/>
        </w:rPr>
        <w:t>G</w:t>
      </w:r>
      <w:r>
        <w:rPr>
          <w:rFonts w:cs="Arial"/>
          <w:color w:val="000000"/>
          <w:kern w:val="0"/>
          <w:szCs w:val="22"/>
        </w:rPr>
        <w:t>roup</w:t>
      </w:r>
      <w:r w:rsidR="002E3D50" w:rsidRPr="00A868F0">
        <w:rPr>
          <w:rFonts w:cs="Arial"/>
          <w:color w:val="000000"/>
          <w:kern w:val="0"/>
          <w:szCs w:val="22"/>
        </w:rPr>
        <w:t xml:space="preserve"> outcome and in these circumstances the jointly agreed Dispute Procedure should be used.</w:t>
      </w:r>
      <w:r w:rsidR="002E3D50" w:rsidRPr="00A868F0">
        <w:rPr>
          <w:rFonts w:cs="Arial"/>
          <w:b/>
          <w:color w:val="000000"/>
          <w:kern w:val="0"/>
          <w:szCs w:val="22"/>
        </w:rPr>
        <w:t xml:space="preserve"> </w:t>
      </w:r>
    </w:p>
    <w:p w14:paraId="6BD65F05" w14:textId="77777777" w:rsidR="002E3D50" w:rsidRPr="00A868F0" w:rsidRDefault="002E3D50" w:rsidP="00CE3AE1">
      <w:pPr>
        <w:spacing w:line="240" w:lineRule="auto"/>
        <w:ind w:right="425"/>
        <w:rPr>
          <w:rFonts w:cs="Arial"/>
          <w:color w:val="000000"/>
          <w:kern w:val="0"/>
          <w:szCs w:val="22"/>
        </w:rPr>
      </w:pPr>
    </w:p>
    <w:p w14:paraId="1A082520" w14:textId="77777777" w:rsidR="002E3D50" w:rsidRPr="00BE1478" w:rsidRDefault="002E3D50" w:rsidP="00CE3AE1">
      <w:pPr>
        <w:autoSpaceDE w:val="0"/>
        <w:autoSpaceDN w:val="0"/>
        <w:adjustRightInd w:val="0"/>
        <w:spacing w:line="240" w:lineRule="auto"/>
        <w:rPr>
          <w:rFonts w:cs="Arial"/>
          <w:color w:val="000000"/>
          <w:kern w:val="0"/>
          <w:szCs w:val="22"/>
        </w:rPr>
      </w:pPr>
      <w:r w:rsidRPr="00BE1478">
        <w:rPr>
          <w:rFonts w:cs="Arial"/>
          <w:color w:val="000000"/>
          <w:kern w:val="0"/>
          <w:szCs w:val="22"/>
        </w:rPr>
        <w:t>The National Framework for NHS Continuin</w:t>
      </w:r>
      <w:r w:rsidR="007F2DF3">
        <w:rPr>
          <w:rFonts w:cs="Arial"/>
          <w:color w:val="000000"/>
          <w:kern w:val="0"/>
          <w:szCs w:val="22"/>
        </w:rPr>
        <w:t>g Healthcare (CHC) requires CCG</w:t>
      </w:r>
      <w:r w:rsidRPr="00BE1478">
        <w:rPr>
          <w:rFonts w:cs="Arial"/>
          <w:color w:val="000000"/>
          <w:kern w:val="0"/>
          <w:szCs w:val="22"/>
        </w:rPr>
        <w:t>s and Local Authorities to have in place a jointly agreed mechanism to resolve disputes between them on eligibility for NHS C</w:t>
      </w:r>
      <w:r w:rsidR="003E2831">
        <w:rPr>
          <w:rFonts w:cs="Arial"/>
          <w:color w:val="000000"/>
          <w:kern w:val="0"/>
          <w:szCs w:val="22"/>
        </w:rPr>
        <w:t xml:space="preserve">ontinuing </w:t>
      </w:r>
      <w:r w:rsidRPr="00BE1478">
        <w:rPr>
          <w:rFonts w:cs="Arial"/>
          <w:color w:val="000000"/>
          <w:kern w:val="0"/>
          <w:szCs w:val="22"/>
        </w:rPr>
        <w:t>H</w:t>
      </w:r>
      <w:r w:rsidR="003E2831">
        <w:rPr>
          <w:rFonts w:cs="Arial"/>
          <w:color w:val="000000"/>
          <w:kern w:val="0"/>
          <w:szCs w:val="22"/>
        </w:rPr>
        <w:t>ealthcare</w:t>
      </w:r>
      <w:r w:rsidR="007F2DF3">
        <w:rPr>
          <w:rFonts w:cs="Arial"/>
          <w:color w:val="000000"/>
          <w:kern w:val="0"/>
          <w:szCs w:val="22"/>
        </w:rPr>
        <w:t>, please see</w:t>
      </w:r>
      <w:r w:rsidR="007F2DF3" w:rsidRPr="007F2DF3">
        <w:rPr>
          <w:rFonts w:cs="Arial"/>
          <w:color w:val="000000"/>
          <w:kern w:val="0"/>
          <w:szCs w:val="22"/>
        </w:rPr>
        <w:t xml:space="preserve"> Appendix 2</w:t>
      </w:r>
      <w:r w:rsidR="007F2DF3">
        <w:rPr>
          <w:rFonts w:cs="Arial"/>
          <w:color w:val="000000"/>
          <w:kern w:val="0"/>
          <w:szCs w:val="22"/>
        </w:rPr>
        <w:t>.</w:t>
      </w:r>
    </w:p>
    <w:p w14:paraId="4584FC17" w14:textId="77777777" w:rsidR="002E3D50" w:rsidRPr="00BE1478" w:rsidRDefault="002E3D50" w:rsidP="00BE1478">
      <w:pPr>
        <w:autoSpaceDE w:val="0"/>
        <w:autoSpaceDN w:val="0"/>
        <w:adjustRightInd w:val="0"/>
        <w:spacing w:line="240" w:lineRule="auto"/>
        <w:rPr>
          <w:rFonts w:cs="Arial"/>
          <w:color w:val="000000"/>
          <w:kern w:val="0"/>
          <w:szCs w:val="22"/>
        </w:rPr>
      </w:pPr>
    </w:p>
    <w:p w14:paraId="19C7D26D" w14:textId="77777777" w:rsidR="00BE1478" w:rsidRDefault="00BE1478" w:rsidP="00DF68FD">
      <w:pPr>
        <w:pStyle w:val="Heading1"/>
        <w:rPr>
          <w:lang w:eastAsia="en-US"/>
        </w:rPr>
      </w:pPr>
      <w:bookmarkStart w:id="10" w:name="_Toc26869239"/>
      <w:r>
        <w:rPr>
          <w:lang w:eastAsia="en-US"/>
        </w:rPr>
        <w:t>12</w:t>
      </w:r>
      <w:r w:rsidR="00DF68FD" w:rsidRPr="00A868F0">
        <w:rPr>
          <w:lang w:eastAsia="en-US"/>
        </w:rPr>
        <w:t>.</w:t>
      </w:r>
      <w:r>
        <w:rPr>
          <w:lang w:eastAsia="en-US"/>
        </w:rPr>
        <w:t xml:space="preserve">  COMPLAINTS</w:t>
      </w:r>
      <w:bookmarkEnd w:id="10"/>
    </w:p>
    <w:p w14:paraId="21E071CC" w14:textId="77777777" w:rsidR="00BE1478" w:rsidRPr="00BE1478" w:rsidRDefault="00BE1478" w:rsidP="00BE1478">
      <w:pPr>
        <w:autoSpaceDE w:val="0"/>
        <w:autoSpaceDN w:val="0"/>
        <w:adjustRightInd w:val="0"/>
        <w:spacing w:line="240" w:lineRule="auto"/>
        <w:rPr>
          <w:rFonts w:cs="Arial"/>
          <w:color w:val="000000"/>
          <w:kern w:val="0"/>
          <w:szCs w:val="22"/>
        </w:rPr>
      </w:pPr>
    </w:p>
    <w:p w14:paraId="3A7A5C8D" w14:textId="77777777" w:rsidR="00BE1478" w:rsidRDefault="00BE1478" w:rsidP="00BE1478">
      <w:pPr>
        <w:autoSpaceDE w:val="0"/>
        <w:autoSpaceDN w:val="0"/>
        <w:adjustRightInd w:val="0"/>
        <w:spacing w:line="240" w:lineRule="auto"/>
        <w:rPr>
          <w:rFonts w:cs="Arial"/>
          <w:color w:val="000000"/>
          <w:kern w:val="0"/>
          <w:szCs w:val="22"/>
        </w:rPr>
      </w:pPr>
      <w:r w:rsidRPr="00BE1478">
        <w:rPr>
          <w:rFonts w:cs="Arial"/>
          <w:color w:val="000000"/>
          <w:kern w:val="0"/>
          <w:szCs w:val="22"/>
        </w:rPr>
        <w:t>If an individual patient or their representative is dissatisfied with the manner in which the overall process has been conducted, rather than specifically the outcome regarding eligibility for NHS continuing healthcare</w:t>
      </w:r>
      <w:r>
        <w:rPr>
          <w:rFonts w:cs="Arial"/>
          <w:color w:val="000000"/>
          <w:kern w:val="0"/>
          <w:szCs w:val="22"/>
        </w:rPr>
        <w:t xml:space="preserve"> (in this instance please follow the appeal process outlined above)</w:t>
      </w:r>
      <w:r w:rsidRPr="00BE1478">
        <w:rPr>
          <w:rFonts w:cs="Arial"/>
          <w:color w:val="000000"/>
          <w:kern w:val="0"/>
          <w:szCs w:val="22"/>
        </w:rPr>
        <w:t>, they may make a complaint</w:t>
      </w:r>
      <w:r>
        <w:rPr>
          <w:rFonts w:cs="Arial"/>
          <w:color w:val="000000"/>
          <w:kern w:val="0"/>
          <w:szCs w:val="22"/>
        </w:rPr>
        <w:t xml:space="preserve"> to North East Lincolnshire Clinical Commissioning Group through the NHS complaints procedure.  </w:t>
      </w:r>
    </w:p>
    <w:p w14:paraId="033D64F8" w14:textId="77777777" w:rsidR="00BE1478" w:rsidRDefault="00BE1478" w:rsidP="00BE1478">
      <w:pPr>
        <w:autoSpaceDE w:val="0"/>
        <w:autoSpaceDN w:val="0"/>
        <w:adjustRightInd w:val="0"/>
        <w:spacing w:line="240" w:lineRule="auto"/>
        <w:rPr>
          <w:rFonts w:cs="Arial"/>
          <w:color w:val="000000"/>
          <w:kern w:val="0"/>
          <w:szCs w:val="22"/>
        </w:rPr>
      </w:pPr>
    </w:p>
    <w:p w14:paraId="6557261A" w14:textId="77777777" w:rsidR="00BE1478" w:rsidRDefault="00BE1478" w:rsidP="00BE1478">
      <w:pPr>
        <w:autoSpaceDE w:val="0"/>
        <w:autoSpaceDN w:val="0"/>
        <w:adjustRightInd w:val="0"/>
        <w:spacing w:line="240" w:lineRule="auto"/>
        <w:rPr>
          <w:rFonts w:cs="Arial"/>
          <w:color w:val="000000"/>
          <w:kern w:val="0"/>
          <w:szCs w:val="22"/>
        </w:rPr>
      </w:pPr>
      <w:r>
        <w:rPr>
          <w:rFonts w:cs="Arial"/>
          <w:color w:val="000000"/>
          <w:kern w:val="0"/>
          <w:szCs w:val="22"/>
        </w:rPr>
        <w:t xml:space="preserve">Complaints should be e-mailed to </w:t>
      </w:r>
      <w:hyperlink r:id="rId13" w:history="1">
        <w:r w:rsidRPr="00E37EE5">
          <w:rPr>
            <w:rStyle w:val="Hyperlink"/>
            <w:rFonts w:cs="Arial"/>
            <w:kern w:val="0"/>
            <w:szCs w:val="22"/>
          </w:rPr>
          <w:t>nelccg.askus@nhs.net</w:t>
        </w:r>
      </w:hyperlink>
      <w:r>
        <w:rPr>
          <w:rFonts w:cs="Arial"/>
          <w:color w:val="000000"/>
          <w:kern w:val="0"/>
          <w:szCs w:val="22"/>
        </w:rPr>
        <w:t xml:space="preserve"> or posted to:</w:t>
      </w:r>
    </w:p>
    <w:p w14:paraId="5B5DB380" w14:textId="77777777" w:rsidR="00BE1478" w:rsidRDefault="00BE1478" w:rsidP="00BE1478">
      <w:pPr>
        <w:autoSpaceDE w:val="0"/>
        <w:autoSpaceDN w:val="0"/>
        <w:adjustRightInd w:val="0"/>
        <w:spacing w:line="240" w:lineRule="auto"/>
        <w:rPr>
          <w:rFonts w:cs="Arial"/>
          <w:color w:val="000000"/>
          <w:kern w:val="0"/>
          <w:szCs w:val="22"/>
        </w:rPr>
      </w:pPr>
    </w:p>
    <w:p w14:paraId="34BC103D" w14:textId="77777777" w:rsidR="00BE1478" w:rsidRDefault="00BE1478" w:rsidP="00BE1478">
      <w:pPr>
        <w:autoSpaceDE w:val="0"/>
        <w:autoSpaceDN w:val="0"/>
        <w:adjustRightInd w:val="0"/>
        <w:spacing w:line="240" w:lineRule="auto"/>
        <w:rPr>
          <w:rFonts w:cs="Arial"/>
          <w:color w:val="000000"/>
          <w:kern w:val="0"/>
          <w:szCs w:val="22"/>
        </w:rPr>
      </w:pPr>
      <w:r>
        <w:rPr>
          <w:rFonts w:cs="Arial"/>
          <w:color w:val="000000"/>
          <w:kern w:val="0"/>
          <w:szCs w:val="22"/>
        </w:rPr>
        <w:t>PALs</w:t>
      </w:r>
    </w:p>
    <w:p w14:paraId="2DC7CCBA" w14:textId="77777777" w:rsidR="00BE1478" w:rsidRPr="00BE1478" w:rsidRDefault="00BE1478" w:rsidP="00BE1478">
      <w:pPr>
        <w:autoSpaceDE w:val="0"/>
        <w:autoSpaceDN w:val="0"/>
        <w:adjustRightInd w:val="0"/>
        <w:spacing w:line="240" w:lineRule="auto"/>
        <w:rPr>
          <w:rFonts w:cs="Arial"/>
          <w:color w:val="000000"/>
          <w:kern w:val="0"/>
          <w:szCs w:val="22"/>
        </w:rPr>
      </w:pPr>
      <w:r w:rsidRPr="00BE1478">
        <w:rPr>
          <w:rFonts w:cs="Arial"/>
          <w:color w:val="000000"/>
          <w:kern w:val="0"/>
          <w:szCs w:val="22"/>
        </w:rPr>
        <w:t>North East Lincolnshire CCG</w:t>
      </w:r>
    </w:p>
    <w:p w14:paraId="6505C9DE" w14:textId="77777777" w:rsidR="00C3036F" w:rsidRDefault="00C3036F" w:rsidP="00BE1478">
      <w:pPr>
        <w:autoSpaceDE w:val="0"/>
        <w:autoSpaceDN w:val="0"/>
        <w:adjustRightInd w:val="0"/>
        <w:spacing w:line="240" w:lineRule="auto"/>
        <w:rPr>
          <w:rFonts w:cs="Arial"/>
          <w:color w:val="000000"/>
          <w:kern w:val="0"/>
          <w:szCs w:val="22"/>
        </w:rPr>
      </w:pPr>
      <w:r>
        <w:rPr>
          <w:rFonts w:cs="Arial"/>
          <w:color w:val="000000"/>
          <w:kern w:val="0"/>
          <w:szCs w:val="22"/>
        </w:rPr>
        <w:t>Municipal Offices</w:t>
      </w:r>
      <w:r w:rsidRPr="00C3036F">
        <w:rPr>
          <w:rFonts w:cs="Arial"/>
          <w:color w:val="000000"/>
          <w:kern w:val="0"/>
          <w:szCs w:val="22"/>
        </w:rPr>
        <w:t xml:space="preserve"> </w:t>
      </w:r>
    </w:p>
    <w:p w14:paraId="2A1E42BC" w14:textId="77777777" w:rsidR="00C3036F" w:rsidRDefault="00C3036F" w:rsidP="00BE1478">
      <w:pPr>
        <w:autoSpaceDE w:val="0"/>
        <w:autoSpaceDN w:val="0"/>
        <w:adjustRightInd w:val="0"/>
        <w:spacing w:line="240" w:lineRule="auto"/>
        <w:rPr>
          <w:rFonts w:cs="Arial"/>
          <w:color w:val="000000"/>
          <w:kern w:val="0"/>
          <w:szCs w:val="22"/>
        </w:rPr>
      </w:pPr>
      <w:r>
        <w:rPr>
          <w:rFonts w:cs="Arial"/>
          <w:color w:val="000000"/>
          <w:kern w:val="0"/>
          <w:szCs w:val="22"/>
        </w:rPr>
        <w:t>Town Hall Square</w:t>
      </w:r>
    </w:p>
    <w:p w14:paraId="65F2EE27" w14:textId="77777777" w:rsidR="00C3036F" w:rsidRDefault="00C3036F" w:rsidP="00BE1478">
      <w:pPr>
        <w:autoSpaceDE w:val="0"/>
        <w:autoSpaceDN w:val="0"/>
        <w:adjustRightInd w:val="0"/>
        <w:spacing w:line="240" w:lineRule="auto"/>
        <w:rPr>
          <w:rFonts w:cs="Arial"/>
          <w:color w:val="000000"/>
          <w:kern w:val="0"/>
          <w:szCs w:val="22"/>
        </w:rPr>
      </w:pPr>
      <w:r>
        <w:rPr>
          <w:rFonts w:cs="Arial"/>
          <w:color w:val="000000"/>
          <w:kern w:val="0"/>
          <w:szCs w:val="22"/>
        </w:rPr>
        <w:t>Grimsby</w:t>
      </w:r>
      <w:r w:rsidRPr="00C3036F">
        <w:rPr>
          <w:rFonts w:cs="Arial"/>
          <w:color w:val="000000"/>
          <w:kern w:val="0"/>
          <w:szCs w:val="22"/>
        </w:rPr>
        <w:t xml:space="preserve"> DN31 1HU</w:t>
      </w:r>
    </w:p>
    <w:p w14:paraId="33A72F6D" w14:textId="77777777" w:rsidR="00550ECB" w:rsidRPr="00BE1478" w:rsidRDefault="00550ECB" w:rsidP="00BE1478">
      <w:pPr>
        <w:autoSpaceDE w:val="0"/>
        <w:autoSpaceDN w:val="0"/>
        <w:adjustRightInd w:val="0"/>
        <w:spacing w:line="240" w:lineRule="auto"/>
        <w:rPr>
          <w:rFonts w:cs="Arial"/>
          <w:color w:val="000000"/>
          <w:kern w:val="0"/>
          <w:szCs w:val="22"/>
        </w:rPr>
      </w:pPr>
    </w:p>
    <w:p w14:paraId="2FD33999" w14:textId="77777777" w:rsidR="00BE1478" w:rsidRDefault="00241E31" w:rsidP="00241E31">
      <w:pPr>
        <w:pStyle w:val="Heading1"/>
        <w:rPr>
          <w:lang w:eastAsia="en-US"/>
        </w:rPr>
      </w:pPr>
      <w:bookmarkStart w:id="11" w:name="_Toc26869240"/>
      <w:r>
        <w:rPr>
          <w:lang w:eastAsia="en-US"/>
        </w:rPr>
        <w:lastRenderedPageBreak/>
        <w:t>13.  DISCHARGE PLANNING</w:t>
      </w:r>
      <w:bookmarkEnd w:id="11"/>
    </w:p>
    <w:p w14:paraId="5555639E" w14:textId="77777777" w:rsidR="00241E31" w:rsidRDefault="00241E31" w:rsidP="00241E31">
      <w:pPr>
        <w:autoSpaceDE w:val="0"/>
        <w:autoSpaceDN w:val="0"/>
        <w:adjustRightInd w:val="0"/>
        <w:spacing w:line="240" w:lineRule="auto"/>
        <w:rPr>
          <w:lang w:eastAsia="en-US"/>
        </w:rPr>
      </w:pPr>
    </w:p>
    <w:p w14:paraId="47DB97B7" w14:textId="4358C7E7" w:rsidR="00241E31" w:rsidRPr="00241E31" w:rsidRDefault="00241E31" w:rsidP="00241E31">
      <w:pPr>
        <w:autoSpaceDE w:val="0"/>
        <w:autoSpaceDN w:val="0"/>
        <w:adjustRightInd w:val="0"/>
        <w:spacing w:line="240" w:lineRule="auto"/>
        <w:rPr>
          <w:rFonts w:cs="Arial"/>
          <w:color w:val="000000"/>
          <w:kern w:val="0"/>
          <w:szCs w:val="22"/>
        </w:rPr>
      </w:pPr>
      <w:r w:rsidRPr="00241E31">
        <w:rPr>
          <w:rFonts w:cs="Arial"/>
          <w:color w:val="000000"/>
          <w:kern w:val="0"/>
          <w:szCs w:val="22"/>
        </w:rPr>
        <w:t>North East Lincolnshire Clinical Commissio</w:t>
      </w:r>
      <w:r w:rsidR="00204CE6">
        <w:rPr>
          <w:rFonts w:cs="Arial"/>
          <w:color w:val="000000"/>
          <w:kern w:val="0"/>
          <w:szCs w:val="22"/>
        </w:rPr>
        <w:t xml:space="preserve">ning Group does not use the </w:t>
      </w:r>
      <w:r w:rsidR="00AE1AC8">
        <w:rPr>
          <w:rFonts w:cs="Arial"/>
          <w:color w:val="000000"/>
          <w:kern w:val="0"/>
          <w:szCs w:val="22"/>
        </w:rPr>
        <w:t xml:space="preserve">Checklist/Fast Track tool or </w:t>
      </w:r>
      <w:r w:rsidR="00204CE6" w:rsidRPr="00AE1AC8">
        <w:rPr>
          <w:rFonts w:cs="Arial"/>
          <w:color w:val="000000"/>
          <w:kern w:val="0"/>
          <w:szCs w:val="22"/>
        </w:rPr>
        <w:t>Decision Support Tool</w:t>
      </w:r>
      <w:r w:rsidR="00204CE6">
        <w:rPr>
          <w:rFonts w:cs="Arial"/>
          <w:color w:val="000000"/>
          <w:kern w:val="0"/>
          <w:szCs w:val="22"/>
        </w:rPr>
        <w:t xml:space="preserve"> (DST) </w:t>
      </w:r>
      <w:r w:rsidRPr="00241E31">
        <w:rPr>
          <w:rFonts w:cs="Arial"/>
          <w:color w:val="000000"/>
          <w:kern w:val="0"/>
          <w:szCs w:val="22"/>
        </w:rPr>
        <w:t>in hospital in line with recent NHS best practice</w:t>
      </w:r>
      <w:proofErr w:type="gramStart"/>
      <w:r w:rsidRPr="00241E31">
        <w:rPr>
          <w:rFonts w:cs="Arial"/>
          <w:color w:val="000000"/>
          <w:kern w:val="0"/>
          <w:szCs w:val="22"/>
        </w:rPr>
        <w:t xml:space="preserve">.  </w:t>
      </w:r>
      <w:proofErr w:type="gramEnd"/>
      <w:r w:rsidRPr="00241E31">
        <w:rPr>
          <w:rFonts w:cs="Arial"/>
          <w:color w:val="000000"/>
          <w:kern w:val="0"/>
          <w:szCs w:val="22"/>
        </w:rPr>
        <w:t xml:space="preserve">Where it is believed a person may be eligible </w:t>
      </w:r>
      <w:r w:rsidR="0014551F">
        <w:rPr>
          <w:rFonts w:cs="Arial"/>
          <w:color w:val="000000"/>
          <w:kern w:val="0"/>
          <w:szCs w:val="22"/>
        </w:rPr>
        <w:t>for</w:t>
      </w:r>
      <w:r w:rsidRPr="00241E31">
        <w:rPr>
          <w:rFonts w:cs="Arial"/>
          <w:color w:val="000000"/>
          <w:kern w:val="0"/>
          <w:szCs w:val="22"/>
        </w:rPr>
        <w:t xml:space="preserve"> continuing health care funding the CCG policy is to interim fund </w:t>
      </w:r>
      <w:proofErr w:type="gramStart"/>
      <w:r w:rsidRPr="00241E31">
        <w:rPr>
          <w:rFonts w:cs="Arial"/>
          <w:color w:val="000000"/>
          <w:kern w:val="0"/>
          <w:szCs w:val="22"/>
        </w:rPr>
        <w:t xml:space="preserve">so as </w:t>
      </w:r>
      <w:r w:rsidR="005F25AF">
        <w:rPr>
          <w:rFonts w:cs="Arial"/>
          <w:color w:val="000000"/>
          <w:kern w:val="0"/>
          <w:szCs w:val="22"/>
        </w:rPr>
        <w:t>to</w:t>
      </w:r>
      <w:proofErr w:type="gramEnd"/>
      <w:r w:rsidR="005F25AF">
        <w:rPr>
          <w:rFonts w:cs="Arial"/>
          <w:color w:val="000000"/>
          <w:kern w:val="0"/>
          <w:szCs w:val="22"/>
        </w:rPr>
        <w:t xml:space="preserve"> not delay the discharge and to</w:t>
      </w:r>
      <w:r w:rsidRPr="00241E31">
        <w:rPr>
          <w:rFonts w:cs="Arial"/>
          <w:color w:val="000000"/>
          <w:kern w:val="0"/>
          <w:szCs w:val="22"/>
        </w:rPr>
        <w:t xml:space="preserve"> allow the </w:t>
      </w:r>
      <w:r w:rsidR="00AE1AC8">
        <w:rPr>
          <w:rFonts w:cs="Arial"/>
          <w:color w:val="000000"/>
          <w:kern w:val="0"/>
          <w:szCs w:val="22"/>
        </w:rPr>
        <w:t>Checklist/Fast Track/</w:t>
      </w:r>
      <w:r w:rsidRPr="00AE1AC8">
        <w:rPr>
          <w:rFonts w:cs="Arial"/>
          <w:color w:val="000000"/>
          <w:kern w:val="0"/>
          <w:szCs w:val="22"/>
        </w:rPr>
        <w:t>DST</w:t>
      </w:r>
      <w:r w:rsidRPr="00241E31">
        <w:rPr>
          <w:rFonts w:cs="Arial"/>
          <w:color w:val="000000"/>
          <w:kern w:val="0"/>
          <w:szCs w:val="22"/>
        </w:rPr>
        <w:t xml:space="preserve"> to be carried out in a more appropriate environment for the patient.</w:t>
      </w:r>
    </w:p>
    <w:p w14:paraId="4E580FDC" w14:textId="77777777" w:rsidR="00BE1478" w:rsidRPr="00241E31" w:rsidRDefault="00BE1478" w:rsidP="00241E31">
      <w:pPr>
        <w:autoSpaceDE w:val="0"/>
        <w:autoSpaceDN w:val="0"/>
        <w:adjustRightInd w:val="0"/>
        <w:spacing w:line="240" w:lineRule="auto"/>
        <w:rPr>
          <w:rFonts w:cs="Arial"/>
          <w:color w:val="000000"/>
          <w:kern w:val="0"/>
          <w:szCs w:val="22"/>
        </w:rPr>
      </w:pPr>
    </w:p>
    <w:p w14:paraId="23655699" w14:textId="77777777" w:rsidR="00241E31" w:rsidRDefault="000318EE" w:rsidP="000318EE">
      <w:pPr>
        <w:pStyle w:val="Heading1"/>
      </w:pPr>
      <w:bookmarkStart w:id="12" w:name="_Toc26869241"/>
      <w:r>
        <w:t>14.  SECTION 117 – MENTAL HEALTH AFTERCARE</w:t>
      </w:r>
      <w:bookmarkEnd w:id="12"/>
    </w:p>
    <w:p w14:paraId="01B7DFBC" w14:textId="77777777" w:rsidR="00477BF2" w:rsidRPr="00477BF2" w:rsidRDefault="00477BF2" w:rsidP="00477BF2">
      <w:pPr>
        <w:autoSpaceDE w:val="0"/>
        <w:autoSpaceDN w:val="0"/>
        <w:adjustRightInd w:val="0"/>
        <w:spacing w:line="240" w:lineRule="auto"/>
      </w:pPr>
    </w:p>
    <w:p w14:paraId="060EF2F6" w14:textId="77777777" w:rsidR="000318EE" w:rsidRPr="00A868F0" w:rsidRDefault="000318EE" w:rsidP="000318EE">
      <w:pPr>
        <w:autoSpaceDE w:val="0"/>
        <w:autoSpaceDN w:val="0"/>
        <w:adjustRightInd w:val="0"/>
        <w:spacing w:line="240" w:lineRule="auto"/>
        <w:rPr>
          <w:rFonts w:cs="Arial"/>
          <w:color w:val="000000"/>
          <w:kern w:val="0"/>
          <w:szCs w:val="22"/>
        </w:rPr>
      </w:pPr>
      <w:r w:rsidRPr="00A868F0">
        <w:rPr>
          <w:rFonts w:cs="Arial"/>
          <w:color w:val="000000"/>
          <w:kern w:val="0"/>
          <w:szCs w:val="22"/>
        </w:rPr>
        <w:t xml:space="preserve">Under section 117 of the Mental Health Act 1983 (‘section 117’), CCGs and LAs have a duty to provide after-care services to individuals who have been detained under certain provisions of the Mental Health Act 1983, until such time as they are satisfied that the person is no longer in need of such services. </w:t>
      </w:r>
    </w:p>
    <w:p w14:paraId="068B7BAC" w14:textId="77777777" w:rsidR="000318EE" w:rsidRPr="00A868F0" w:rsidRDefault="000318EE" w:rsidP="000318EE">
      <w:pPr>
        <w:autoSpaceDE w:val="0"/>
        <w:autoSpaceDN w:val="0"/>
        <w:adjustRightInd w:val="0"/>
        <w:spacing w:line="240" w:lineRule="auto"/>
        <w:rPr>
          <w:rFonts w:cs="Arial"/>
          <w:color w:val="000000"/>
          <w:kern w:val="0"/>
          <w:szCs w:val="22"/>
        </w:rPr>
      </w:pPr>
    </w:p>
    <w:p w14:paraId="301437B7" w14:textId="77777777" w:rsidR="000318EE" w:rsidRPr="00A868F0" w:rsidRDefault="000318EE" w:rsidP="000318EE">
      <w:pPr>
        <w:autoSpaceDE w:val="0"/>
        <w:autoSpaceDN w:val="0"/>
        <w:adjustRightInd w:val="0"/>
        <w:spacing w:line="240" w:lineRule="auto"/>
        <w:rPr>
          <w:rFonts w:cs="Arial"/>
          <w:color w:val="000000"/>
          <w:kern w:val="0"/>
          <w:szCs w:val="22"/>
        </w:rPr>
      </w:pPr>
      <w:r w:rsidRPr="00A868F0">
        <w:rPr>
          <w:rFonts w:cs="Arial"/>
          <w:color w:val="000000"/>
          <w:kern w:val="0"/>
          <w:szCs w:val="22"/>
        </w:rPr>
        <w:t xml:space="preserve">Section 117 is a freestanding duty to provide after-care services for needs arising from their mental disorder and CCGs and LAs should have in place local policies detailing their respective responsibilities, including funding arrangements. </w:t>
      </w:r>
    </w:p>
    <w:p w14:paraId="12AA2195" w14:textId="77777777" w:rsidR="000318EE" w:rsidRPr="00A868F0" w:rsidRDefault="000318EE" w:rsidP="000318EE">
      <w:pPr>
        <w:autoSpaceDE w:val="0"/>
        <w:autoSpaceDN w:val="0"/>
        <w:adjustRightInd w:val="0"/>
        <w:spacing w:line="240" w:lineRule="auto"/>
        <w:rPr>
          <w:rFonts w:cs="Arial"/>
          <w:color w:val="000000"/>
          <w:kern w:val="0"/>
          <w:szCs w:val="22"/>
        </w:rPr>
      </w:pPr>
    </w:p>
    <w:p w14:paraId="23D70342" w14:textId="77777777" w:rsidR="000318EE" w:rsidRPr="00A868F0" w:rsidRDefault="000318EE" w:rsidP="000318EE">
      <w:pPr>
        <w:autoSpaceDE w:val="0"/>
        <w:autoSpaceDN w:val="0"/>
        <w:adjustRightInd w:val="0"/>
        <w:spacing w:line="240" w:lineRule="auto"/>
        <w:rPr>
          <w:rFonts w:cs="Arial"/>
          <w:color w:val="000000"/>
          <w:kern w:val="0"/>
          <w:szCs w:val="22"/>
        </w:rPr>
      </w:pPr>
      <w:r w:rsidRPr="00A868F0">
        <w:rPr>
          <w:rFonts w:cs="Arial"/>
          <w:color w:val="000000"/>
          <w:kern w:val="0"/>
          <w:szCs w:val="22"/>
        </w:rPr>
        <w:t xml:space="preserve">Responsibility for the provision of section 117 services lies jointly with LAs and the NHS. Where a patient is eligible for services under section 117 these should be provided under section 117 and </w:t>
      </w:r>
      <w:r w:rsidRPr="000318EE">
        <w:rPr>
          <w:rFonts w:cs="Arial"/>
          <w:color w:val="000000"/>
          <w:kern w:val="0"/>
          <w:szCs w:val="22"/>
        </w:rPr>
        <w:t>not</w:t>
      </w:r>
      <w:r w:rsidRPr="00A868F0">
        <w:rPr>
          <w:rFonts w:cs="Arial"/>
          <w:color w:val="000000"/>
          <w:kern w:val="0"/>
          <w:szCs w:val="22"/>
        </w:rPr>
        <w:t xml:space="preserve"> under NHS continuing healthcare.</w:t>
      </w:r>
    </w:p>
    <w:p w14:paraId="0AA4C250" w14:textId="77777777" w:rsidR="000318EE" w:rsidRPr="00A868F0" w:rsidRDefault="000318EE" w:rsidP="00477BF2">
      <w:pPr>
        <w:autoSpaceDE w:val="0"/>
        <w:autoSpaceDN w:val="0"/>
        <w:adjustRightInd w:val="0"/>
        <w:spacing w:line="240" w:lineRule="auto"/>
        <w:rPr>
          <w:rFonts w:cs="Arial"/>
          <w:color w:val="000000"/>
          <w:kern w:val="0"/>
          <w:szCs w:val="22"/>
        </w:rPr>
      </w:pPr>
    </w:p>
    <w:p w14:paraId="6DBF278A" w14:textId="77777777" w:rsidR="000318EE" w:rsidRPr="00A868F0" w:rsidRDefault="000318EE" w:rsidP="000318EE">
      <w:pPr>
        <w:autoSpaceDE w:val="0"/>
        <w:autoSpaceDN w:val="0"/>
        <w:adjustRightInd w:val="0"/>
        <w:spacing w:line="240" w:lineRule="auto"/>
        <w:rPr>
          <w:rFonts w:cs="Arial"/>
          <w:color w:val="000000"/>
          <w:kern w:val="0"/>
          <w:szCs w:val="22"/>
        </w:rPr>
      </w:pPr>
      <w:r w:rsidRPr="00A868F0">
        <w:rPr>
          <w:rFonts w:cs="Arial"/>
          <w:color w:val="000000"/>
          <w:kern w:val="0"/>
          <w:szCs w:val="22"/>
        </w:rPr>
        <w:t xml:space="preserve"> It is important for CCGs to be clear in each case whether the individual’s needs (or in some cases which elements of the individual’s needs) are being funded under section 117, NHS continuing healthcare or any other powers, irrespective of which budget is used to fund those services. </w:t>
      </w:r>
    </w:p>
    <w:p w14:paraId="595CC6FA" w14:textId="77777777" w:rsidR="000318EE" w:rsidRPr="00A868F0" w:rsidRDefault="000318EE" w:rsidP="000318EE">
      <w:pPr>
        <w:autoSpaceDE w:val="0"/>
        <w:autoSpaceDN w:val="0"/>
        <w:adjustRightInd w:val="0"/>
        <w:spacing w:line="240" w:lineRule="auto"/>
        <w:rPr>
          <w:rFonts w:cs="Arial"/>
          <w:color w:val="000000"/>
          <w:kern w:val="0"/>
          <w:szCs w:val="22"/>
        </w:rPr>
      </w:pPr>
    </w:p>
    <w:p w14:paraId="574A49BF" w14:textId="77777777" w:rsidR="000318EE" w:rsidRPr="00A868F0" w:rsidRDefault="000318EE" w:rsidP="000318EE">
      <w:pPr>
        <w:autoSpaceDE w:val="0"/>
        <w:autoSpaceDN w:val="0"/>
        <w:adjustRightInd w:val="0"/>
        <w:spacing w:line="240" w:lineRule="auto"/>
        <w:rPr>
          <w:rFonts w:cs="Arial"/>
          <w:color w:val="000000"/>
          <w:kern w:val="0"/>
          <w:szCs w:val="22"/>
        </w:rPr>
      </w:pPr>
      <w:r w:rsidRPr="000318EE">
        <w:rPr>
          <w:rFonts w:cs="Arial"/>
          <w:color w:val="000000"/>
          <w:kern w:val="0"/>
          <w:szCs w:val="22"/>
        </w:rPr>
        <w:t>There are no powers to charge for services provided under section 117, regardless of whether they are provided by the NHS or LAs. Accordingly, the question of whether services should be ‘free’ NHS services (rather than potentially charged-for social services) does not arise.</w:t>
      </w:r>
    </w:p>
    <w:p w14:paraId="57FC17ED" w14:textId="77777777" w:rsidR="000318EE" w:rsidRPr="00A868F0" w:rsidRDefault="000318EE" w:rsidP="000318EE">
      <w:pPr>
        <w:autoSpaceDE w:val="0"/>
        <w:autoSpaceDN w:val="0"/>
        <w:adjustRightInd w:val="0"/>
        <w:spacing w:line="240" w:lineRule="auto"/>
        <w:rPr>
          <w:rFonts w:cs="Arial"/>
          <w:color w:val="000000"/>
          <w:kern w:val="0"/>
          <w:szCs w:val="22"/>
        </w:rPr>
      </w:pPr>
    </w:p>
    <w:p w14:paraId="7D2EBC61" w14:textId="77777777" w:rsidR="000318EE" w:rsidRPr="000318EE" w:rsidRDefault="000318EE" w:rsidP="000318EE">
      <w:pPr>
        <w:autoSpaceDE w:val="0"/>
        <w:autoSpaceDN w:val="0"/>
        <w:adjustRightInd w:val="0"/>
        <w:spacing w:line="240" w:lineRule="auto"/>
        <w:rPr>
          <w:rFonts w:cs="Arial"/>
          <w:b/>
          <w:color w:val="000000"/>
          <w:kern w:val="0"/>
          <w:szCs w:val="22"/>
        </w:rPr>
      </w:pPr>
      <w:r w:rsidRPr="000318EE">
        <w:rPr>
          <w:rFonts w:cs="Arial"/>
          <w:color w:val="000000"/>
          <w:kern w:val="0"/>
          <w:szCs w:val="22"/>
        </w:rPr>
        <w:t xml:space="preserve"> </w:t>
      </w:r>
      <w:r w:rsidRPr="000318EE">
        <w:rPr>
          <w:rFonts w:cs="Arial"/>
          <w:b/>
          <w:color w:val="000000"/>
          <w:kern w:val="0"/>
          <w:szCs w:val="22"/>
        </w:rPr>
        <w:t xml:space="preserve">It is not, therefore, necessary to assess eligibility for NHS continuing healthcare if all the services in question are to be provided as after-care services under section 117. </w:t>
      </w:r>
    </w:p>
    <w:p w14:paraId="04FDDAEA" w14:textId="77777777" w:rsidR="000318EE" w:rsidRPr="00A868F0" w:rsidRDefault="000318EE" w:rsidP="000318EE">
      <w:pPr>
        <w:autoSpaceDE w:val="0"/>
        <w:autoSpaceDN w:val="0"/>
        <w:adjustRightInd w:val="0"/>
        <w:spacing w:line="240" w:lineRule="auto"/>
        <w:rPr>
          <w:rFonts w:cs="Arial"/>
          <w:color w:val="000000"/>
          <w:kern w:val="0"/>
          <w:szCs w:val="22"/>
        </w:rPr>
      </w:pPr>
    </w:p>
    <w:p w14:paraId="19C3F849" w14:textId="77777777" w:rsidR="000318EE" w:rsidRPr="00A868F0" w:rsidRDefault="000318EE" w:rsidP="000318EE">
      <w:pPr>
        <w:autoSpaceDE w:val="0"/>
        <w:autoSpaceDN w:val="0"/>
        <w:adjustRightInd w:val="0"/>
        <w:spacing w:line="240" w:lineRule="auto"/>
        <w:rPr>
          <w:rFonts w:cs="Arial"/>
          <w:color w:val="000000"/>
          <w:kern w:val="0"/>
          <w:szCs w:val="22"/>
        </w:rPr>
      </w:pPr>
      <w:r w:rsidRPr="00A868F0">
        <w:rPr>
          <w:rFonts w:cs="Arial"/>
          <w:color w:val="000000"/>
          <w:kern w:val="0"/>
          <w:szCs w:val="22"/>
        </w:rPr>
        <w:t xml:space="preserve">A person in receipt of after-care services under section 117, however, may also have on-going care/support needs that are not related to their mental disorder and that may, therefore, not fall within the scope of section 117. </w:t>
      </w:r>
    </w:p>
    <w:p w14:paraId="0E18C19E" w14:textId="77777777" w:rsidR="000318EE" w:rsidRPr="00A868F0" w:rsidRDefault="000318EE" w:rsidP="000318EE">
      <w:pPr>
        <w:autoSpaceDE w:val="0"/>
        <w:autoSpaceDN w:val="0"/>
        <w:adjustRightInd w:val="0"/>
        <w:spacing w:line="240" w:lineRule="auto"/>
        <w:rPr>
          <w:rFonts w:cs="Arial"/>
          <w:color w:val="000000"/>
          <w:kern w:val="0"/>
          <w:szCs w:val="22"/>
        </w:rPr>
      </w:pPr>
    </w:p>
    <w:p w14:paraId="66C88D9B" w14:textId="77777777" w:rsidR="000318EE" w:rsidRPr="00A868F0" w:rsidRDefault="000318EE" w:rsidP="000318EE">
      <w:pPr>
        <w:autoSpaceDE w:val="0"/>
        <w:autoSpaceDN w:val="0"/>
        <w:adjustRightInd w:val="0"/>
        <w:spacing w:line="240" w:lineRule="auto"/>
        <w:rPr>
          <w:rFonts w:cs="Arial"/>
          <w:color w:val="000000"/>
          <w:kern w:val="0"/>
          <w:szCs w:val="22"/>
        </w:rPr>
      </w:pPr>
      <w:r w:rsidRPr="00A868F0">
        <w:rPr>
          <w:rFonts w:cs="Arial"/>
          <w:color w:val="000000"/>
          <w:kern w:val="0"/>
          <w:szCs w:val="22"/>
        </w:rPr>
        <w:t xml:space="preserve">Also a person may be receiving services under section 117 and then develop separate physical health needs (e.g. through a stroke) which may then trigger the need to consider NHS continuing healthcare only in relation to these separate needs, bearing in mind that NHS continuing healthcare should not be used to meet section 117 needs. </w:t>
      </w:r>
    </w:p>
    <w:p w14:paraId="36ED70E4" w14:textId="77777777" w:rsidR="000318EE" w:rsidRPr="00A868F0" w:rsidRDefault="000318EE" w:rsidP="000318EE">
      <w:pPr>
        <w:autoSpaceDE w:val="0"/>
        <w:autoSpaceDN w:val="0"/>
        <w:adjustRightInd w:val="0"/>
        <w:spacing w:line="240" w:lineRule="auto"/>
        <w:rPr>
          <w:rFonts w:cs="Arial"/>
          <w:color w:val="000000"/>
          <w:kern w:val="0"/>
          <w:szCs w:val="22"/>
        </w:rPr>
      </w:pPr>
    </w:p>
    <w:p w14:paraId="4E109ECA" w14:textId="77777777" w:rsidR="005470A3" w:rsidRPr="002C17BA" w:rsidRDefault="000318EE" w:rsidP="00477BF2">
      <w:pPr>
        <w:autoSpaceDE w:val="0"/>
        <w:autoSpaceDN w:val="0"/>
        <w:adjustRightInd w:val="0"/>
        <w:spacing w:line="240" w:lineRule="auto"/>
        <w:rPr>
          <w:rFonts w:cs="Arial"/>
          <w:color w:val="000000"/>
          <w:kern w:val="0"/>
          <w:szCs w:val="22"/>
        </w:rPr>
      </w:pPr>
      <w:r w:rsidRPr="00A868F0">
        <w:rPr>
          <w:rFonts w:cs="Arial"/>
          <w:color w:val="000000"/>
          <w:kern w:val="0"/>
          <w:szCs w:val="22"/>
        </w:rPr>
        <w:t>Where an individual in receipt of section 117 services develops physical care needs resulting in a rapidly deteriorating condition which may be entering a terminal phase, consideration should be given to the use of the Fast Track Pathway Tool.</w:t>
      </w:r>
    </w:p>
    <w:p w14:paraId="6EA87B8E" w14:textId="541A8236" w:rsidR="005470A3" w:rsidRDefault="005470A3" w:rsidP="00477BF2">
      <w:pPr>
        <w:autoSpaceDE w:val="0"/>
        <w:autoSpaceDN w:val="0"/>
        <w:adjustRightInd w:val="0"/>
        <w:spacing w:line="240" w:lineRule="auto"/>
      </w:pPr>
    </w:p>
    <w:p w14:paraId="18023593" w14:textId="27CE07B8" w:rsidR="00E15FDF" w:rsidRDefault="00E15FDF" w:rsidP="00477BF2">
      <w:pPr>
        <w:autoSpaceDE w:val="0"/>
        <w:autoSpaceDN w:val="0"/>
        <w:adjustRightInd w:val="0"/>
        <w:spacing w:line="240" w:lineRule="auto"/>
      </w:pPr>
    </w:p>
    <w:p w14:paraId="260AE3FB" w14:textId="1BBB64B1" w:rsidR="00E15FDF" w:rsidRDefault="00E15FDF" w:rsidP="00477BF2">
      <w:pPr>
        <w:autoSpaceDE w:val="0"/>
        <w:autoSpaceDN w:val="0"/>
        <w:adjustRightInd w:val="0"/>
        <w:spacing w:line="240" w:lineRule="auto"/>
      </w:pPr>
    </w:p>
    <w:p w14:paraId="7F12AB85" w14:textId="77777777" w:rsidR="00E15FDF" w:rsidRDefault="00E15FDF" w:rsidP="00477BF2">
      <w:pPr>
        <w:autoSpaceDE w:val="0"/>
        <w:autoSpaceDN w:val="0"/>
        <w:adjustRightInd w:val="0"/>
        <w:spacing w:line="240" w:lineRule="auto"/>
      </w:pPr>
    </w:p>
    <w:p w14:paraId="5098DE10" w14:textId="09BCC29D" w:rsidR="00477BF2" w:rsidRDefault="00477BF2" w:rsidP="00D9020B">
      <w:pPr>
        <w:pStyle w:val="Heading1"/>
        <w:ind w:left="397" w:hanging="397"/>
        <w:jc w:val="left"/>
      </w:pPr>
      <w:bookmarkStart w:id="13" w:name="_Toc26869242"/>
      <w:r>
        <w:lastRenderedPageBreak/>
        <w:t>15.  MENTAL HEALTH CAPACITY AN</w:t>
      </w:r>
      <w:r w:rsidR="009E291A">
        <w:t xml:space="preserve">D DEPRIVATION OF LIBERTY </w:t>
      </w:r>
      <w:r w:rsidR="00800AD6">
        <w:t xml:space="preserve">PROTECTION </w:t>
      </w:r>
      <w:r w:rsidR="009E291A">
        <w:t>SAFEGUARDS</w:t>
      </w:r>
      <w:r w:rsidR="00D9020B">
        <w:t xml:space="preserve"> </w:t>
      </w:r>
      <w:r>
        <w:t>(</w:t>
      </w:r>
      <w:r w:rsidR="00800AD6">
        <w:t>LPS</w:t>
      </w:r>
      <w:r>
        <w:t>)</w:t>
      </w:r>
      <w:bookmarkEnd w:id="13"/>
      <w:r w:rsidR="00234157">
        <w:t xml:space="preserve"> </w:t>
      </w:r>
    </w:p>
    <w:p w14:paraId="138BDFCF" w14:textId="77777777" w:rsidR="00477BF2" w:rsidRPr="00477BF2" w:rsidRDefault="00477BF2" w:rsidP="00477BF2">
      <w:pPr>
        <w:autoSpaceDE w:val="0"/>
        <w:autoSpaceDN w:val="0"/>
        <w:adjustRightInd w:val="0"/>
        <w:spacing w:line="240" w:lineRule="auto"/>
      </w:pPr>
    </w:p>
    <w:p w14:paraId="7815D36D" w14:textId="77777777" w:rsidR="00477BF2" w:rsidRDefault="00477BF2" w:rsidP="00477BF2">
      <w:pPr>
        <w:autoSpaceDE w:val="0"/>
        <w:autoSpaceDN w:val="0"/>
        <w:adjustRightInd w:val="0"/>
        <w:spacing w:line="240" w:lineRule="auto"/>
        <w:rPr>
          <w:rFonts w:cs="Arial"/>
          <w:color w:val="000000"/>
          <w:kern w:val="0"/>
          <w:szCs w:val="22"/>
        </w:rPr>
      </w:pPr>
      <w:r w:rsidRPr="00477BF2">
        <w:rPr>
          <w:rFonts w:cs="Arial"/>
          <w:color w:val="000000"/>
          <w:kern w:val="0"/>
          <w:szCs w:val="22"/>
        </w:rPr>
        <w:t>The Mental Capacity Act 2005 contains provisions that apply to a person who lacks capacity and who, in their own best interests, needs to be deprived of their liberty in a care home or hospital, in order for them to receive the necessary care or treatment.  The fact that a person needs to be deprived of his/her liberty in these circumstances does not affect the consideration of whether that person is eligible for NHS continuing healthcare.</w:t>
      </w:r>
      <w:r>
        <w:rPr>
          <w:rFonts w:cs="Arial"/>
          <w:color w:val="000000"/>
          <w:kern w:val="0"/>
          <w:szCs w:val="22"/>
        </w:rPr>
        <w:t xml:space="preserve">  </w:t>
      </w:r>
      <w:r w:rsidR="00832E72">
        <w:rPr>
          <w:rFonts w:cs="Arial"/>
          <w:color w:val="000000"/>
          <w:kern w:val="0"/>
          <w:szCs w:val="22"/>
        </w:rPr>
        <w:t>North East Lincolnshire CCG’s policy can be accessed through the link below.</w:t>
      </w:r>
    </w:p>
    <w:p w14:paraId="785CE485" w14:textId="77777777" w:rsidR="0069797A" w:rsidRDefault="0069797A" w:rsidP="00477BF2">
      <w:pPr>
        <w:autoSpaceDE w:val="0"/>
        <w:autoSpaceDN w:val="0"/>
        <w:adjustRightInd w:val="0"/>
        <w:spacing w:line="240" w:lineRule="auto"/>
        <w:rPr>
          <w:rFonts w:cs="Arial"/>
          <w:color w:val="0070C0"/>
          <w:kern w:val="0"/>
          <w:szCs w:val="22"/>
        </w:rPr>
      </w:pPr>
    </w:p>
    <w:p w14:paraId="1EB7C020" w14:textId="77777777" w:rsidR="0069797A" w:rsidRPr="00800AD6" w:rsidRDefault="004641F0" w:rsidP="00477BF2">
      <w:pPr>
        <w:autoSpaceDE w:val="0"/>
        <w:autoSpaceDN w:val="0"/>
        <w:adjustRightInd w:val="0"/>
        <w:spacing w:line="240" w:lineRule="auto"/>
        <w:rPr>
          <w:rFonts w:cs="Arial"/>
          <w:color w:val="2F5496" w:themeColor="accent5" w:themeShade="BF"/>
          <w:kern w:val="0"/>
          <w:szCs w:val="22"/>
        </w:rPr>
      </w:pPr>
      <w:hyperlink r:id="rId14" w:history="1">
        <w:r w:rsidR="0069797A" w:rsidRPr="00800AD6">
          <w:rPr>
            <w:rStyle w:val="Hyperlink"/>
            <w:rFonts w:cs="Arial"/>
            <w:color w:val="2F5496" w:themeColor="accent5" w:themeShade="BF"/>
            <w:kern w:val="0"/>
            <w:szCs w:val="22"/>
          </w:rPr>
          <w:t>https://MentalCapacityAct2005andDeprivationofLibertyPolicy</w:t>
        </w:r>
      </w:hyperlink>
    </w:p>
    <w:p w14:paraId="0A523E35" w14:textId="77777777" w:rsidR="00EB1678" w:rsidRPr="00EB1678" w:rsidRDefault="00EB1678" w:rsidP="00EB1678">
      <w:pPr>
        <w:autoSpaceDE w:val="0"/>
        <w:autoSpaceDN w:val="0"/>
        <w:adjustRightInd w:val="0"/>
        <w:spacing w:line="240" w:lineRule="auto"/>
        <w:rPr>
          <w:rFonts w:cs="Arial"/>
          <w:color w:val="000000"/>
          <w:kern w:val="0"/>
          <w:szCs w:val="22"/>
        </w:rPr>
      </w:pPr>
    </w:p>
    <w:p w14:paraId="10291BAC" w14:textId="77777777" w:rsidR="00DF68FD" w:rsidRPr="00A868F0" w:rsidRDefault="00E227FA" w:rsidP="00DF68FD">
      <w:pPr>
        <w:pStyle w:val="Heading1"/>
        <w:rPr>
          <w:lang w:eastAsia="en-US"/>
        </w:rPr>
      </w:pPr>
      <w:bookmarkStart w:id="14" w:name="_Toc26869243"/>
      <w:r>
        <w:rPr>
          <w:lang w:eastAsia="en-US"/>
        </w:rPr>
        <w:t xml:space="preserve">16.  </w:t>
      </w:r>
      <w:r w:rsidR="00D676E9">
        <w:rPr>
          <w:lang w:eastAsia="en-US"/>
        </w:rPr>
        <w:t>COMMISSIONING OF CARE PACKAGES</w:t>
      </w:r>
      <w:bookmarkEnd w:id="14"/>
    </w:p>
    <w:p w14:paraId="1417539A" w14:textId="77777777" w:rsidR="00DF68FD" w:rsidRDefault="00DF68FD" w:rsidP="00DF68FD">
      <w:pPr>
        <w:autoSpaceDE w:val="0"/>
        <w:autoSpaceDN w:val="0"/>
        <w:adjustRightInd w:val="0"/>
        <w:spacing w:line="276" w:lineRule="auto"/>
        <w:rPr>
          <w:rFonts w:cs="Arial"/>
          <w:color w:val="000000"/>
          <w:kern w:val="0"/>
          <w:szCs w:val="22"/>
        </w:rPr>
      </w:pPr>
    </w:p>
    <w:p w14:paraId="5DEF04AC" w14:textId="77777777" w:rsidR="00DF68FD" w:rsidRDefault="00DF68FD" w:rsidP="00E227FA">
      <w:pPr>
        <w:autoSpaceDE w:val="0"/>
        <w:autoSpaceDN w:val="0"/>
        <w:adjustRightInd w:val="0"/>
        <w:spacing w:line="240" w:lineRule="auto"/>
        <w:rPr>
          <w:rFonts w:cs="Arial"/>
          <w:color w:val="000000"/>
          <w:kern w:val="0"/>
          <w:szCs w:val="22"/>
        </w:rPr>
      </w:pPr>
      <w:r w:rsidRPr="00A868F0">
        <w:rPr>
          <w:rFonts w:cs="Arial"/>
          <w:color w:val="000000"/>
          <w:kern w:val="0"/>
          <w:szCs w:val="22"/>
        </w:rPr>
        <w:t>It is the responsibility of N</w:t>
      </w:r>
      <w:r>
        <w:rPr>
          <w:rFonts w:cs="Arial"/>
          <w:color w:val="000000"/>
          <w:kern w:val="0"/>
          <w:szCs w:val="22"/>
        </w:rPr>
        <w:t xml:space="preserve">orth </w:t>
      </w:r>
      <w:r w:rsidRPr="00A868F0">
        <w:rPr>
          <w:rFonts w:cs="Arial"/>
          <w:color w:val="000000"/>
          <w:kern w:val="0"/>
          <w:szCs w:val="22"/>
        </w:rPr>
        <w:t>E</w:t>
      </w:r>
      <w:r>
        <w:rPr>
          <w:rFonts w:cs="Arial"/>
          <w:color w:val="000000"/>
          <w:kern w:val="0"/>
          <w:szCs w:val="22"/>
        </w:rPr>
        <w:t xml:space="preserve">ast </w:t>
      </w:r>
      <w:r w:rsidRPr="00A868F0">
        <w:rPr>
          <w:rFonts w:cs="Arial"/>
          <w:color w:val="000000"/>
          <w:kern w:val="0"/>
          <w:szCs w:val="22"/>
        </w:rPr>
        <w:t>L</w:t>
      </w:r>
      <w:r>
        <w:rPr>
          <w:rFonts w:cs="Arial"/>
          <w:color w:val="000000"/>
          <w:kern w:val="0"/>
          <w:szCs w:val="22"/>
        </w:rPr>
        <w:t>incolnshire</w:t>
      </w:r>
      <w:r w:rsidRPr="00A868F0">
        <w:rPr>
          <w:rFonts w:cs="Arial"/>
          <w:color w:val="000000"/>
          <w:kern w:val="0"/>
          <w:szCs w:val="22"/>
        </w:rPr>
        <w:t xml:space="preserve"> Clinical Commissioning Group to: </w:t>
      </w:r>
    </w:p>
    <w:p w14:paraId="3593307F" w14:textId="77777777" w:rsidR="00E227FA" w:rsidRPr="00A868F0" w:rsidRDefault="00E227FA" w:rsidP="00E227FA">
      <w:pPr>
        <w:autoSpaceDE w:val="0"/>
        <w:autoSpaceDN w:val="0"/>
        <w:adjustRightInd w:val="0"/>
        <w:spacing w:line="240" w:lineRule="auto"/>
        <w:rPr>
          <w:rFonts w:cs="Arial"/>
          <w:color w:val="000000"/>
          <w:kern w:val="0"/>
          <w:szCs w:val="22"/>
        </w:rPr>
      </w:pPr>
    </w:p>
    <w:p w14:paraId="6AB85532" w14:textId="77777777" w:rsidR="00DF68FD" w:rsidRPr="00A868F0" w:rsidRDefault="00DF68FD" w:rsidP="00E227FA">
      <w:pPr>
        <w:numPr>
          <w:ilvl w:val="0"/>
          <w:numId w:val="1"/>
        </w:numPr>
        <w:autoSpaceDE w:val="0"/>
        <w:autoSpaceDN w:val="0"/>
        <w:adjustRightInd w:val="0"/>
        <w:spacing w:line="240" w:lineRule="auto"/>
        <w:ind w:left="284" w:hanging="284"/>
        <w:rPr>
          <w:rFonts w:cs="Arial"/>
          <w:color w:val="000000"/>
          <w:kern w:val="0"/>
          <w:szCs w:val="22"/>
        </w:rPr>
      </w:pPr>
      <w:r w:rsidRPr="00A868F0">
        <w:rPr>
          <w:rFonts w:cs="Arial"/>
          <w:color w:val="000000"/>
          <w:kern w:val="0"/>
          <w:szCs w:val="22"/>
        </w:rPr>
        <w:t xml:space="preserve">Plan strategically </w:t>
      </w:r>
    </w:p>
    <w:p w14:paraId="3CA94FEF" w14:textId="77777777" w:rsidR="00DF68FD" w:rsidRPr="00A868F0" w:rsidRDefault="00DF68FD" w:rsidP="00E227FA">
      <w:pPr>
        <w:numPr>
          <w:ilvl w:val="0"/>
          <w:numId w:val="1"/>
        </w:numPr>
        <w:autoSpaceDE w:val="0"/>
        <w:autoSpaceDN w:val="0"/>
        <w:adjustRightInd w:val="0"/>
        <w:spacing w:line="240" w:lineRule="auto"/>
        <w:ind w:left="284" w:hanging="284"/>
        <w:rPr>
          <w:rFonts w:cs="Arial"/>
          <w:color w:val="000000"/>
          <w:kern w:val="0"/>
          <w:szCs w:val="22"/>
        </w:rPr>
      </w:pPr>
      <w:r w:rsidRPr="00A868F0">
        <w:rPr>
          <w:rFonts w:cs="Arial"/>
          <w:color w:val="000000"/>
          <w:kern w:val="0"/>
          <w:szCs w:val="22"/>
        </w:rPr>
        <w:t xml:space="preserve">Specify outcomes </w:t>
      </w:r>
    </w:p>
    <w:p w14:paraId="466C4576" w14:textId="77777777" w:rsidR="00DF68FD" w:rsidRPr="00A868F0" w:rsidRDefault="00DF68FD" w:rsidP="00E227FA">
      <w:pPr>
        <w:numPr>
          <w:ilvl w:val="0"/>
          <w:numId w:val="1"/>
        </w:numPr>
        <w:autoSpaceDE w:val="0"/>
        <w:autoSpaceDN w:val="0"/>
        <w:adjustRightInd w:val="0"/>
        <w:spacing w:line="240" w:lineRule="auto"/>
        <w:ind w:left="284" w:hanging="284"/>
        <w:rPr>
          <w:rFonts w:cs="Arial"/>
          <w:color w:val="000000"/>
          <w:kern w:val="0"/>
          <w:szCs w:val="22"/>
        </w:rPr>
      </w:pPr>
      <w:r w:rsidRPr="00A868F0">
        <w:rPr>
          <w:rFonts w:cs="Arial"/>
          <w:color w:val="000000"/>
          <w:kern w:val="0"/>
          <w:szCs w:val="22"/>
        </w:rPr>
        <w:t xml:space="preserve">Procure services </w:t>
      </w:r>
    </w:p>
    <w:p w14:paraId="42B19E34" w14:textId="77777777" w:rsidR="00DF68FD" w:rsidRPr="00E227FA" w:rsidRDefault="00DF68FD" w:rsidP="00E227FA">
      <w:pPr>
        <w:numPr>
          <w:ilvl w:val="0"/>
          <w:numId w:val="1"/>
        </w:numPr>
        <w:autoSpaceDE w:val="0"/>
        <w:autoSpaceDN w:val="0"/>
        <w:adjustRightInd w:val="0"/>
        <w:spacing w:line="240" w:lineRule="auto"/>
        <w:ind w:left="284" w:hanging="284"/>
        <w:rPr>
          <w:rFonts w:cs="Arial"/>
          <w:color w:val="000000"/>
          <w:kern w:val="0"/>
          <w:szCs w:val="22"/>
        </w:rPr>
      </w:pPr>
      <w:r w:rsidRPr="00E227FA">
        <w:rPr>
          <w:rFonts w:cs="Arial"/>
          <w:color w:val="000000"/>
          <w:kern w:val="0"/>
          <w:szCs w:val="22"/>
        </w:rPr>
        <w:t xml:space="preserve">Manage demand </w:t>
      </w:r>
    </w:p>
    <w:p w14:paraId="330EFEAB" w14:textId="77777777" w:rsidR="00DF68FD" w:rsidRPr="00E227FA" w:rsidRDefault="00DF68FD" w:rsidP="00E227FA">
      <w:pPr>
        <w:numPr>
          <w:ilvl w:val="0"/>
          <w:numId w:val="1"/>
        </w:numPr>
        <w:autoSpaceDE w:val="0"/>
        <w:autoSpaceDN w:val="0"/>
        <w:adjustRightInd w:val="0"/>
        <w:spacing w:line="240" w:lineRule="auto"/>
        <w:ind w:left="284" w:hanging="284"/>
        <w:rPr>
          <w:rFonts w:cs="Arial"/>
          <w:color w:val="000000"/>
          <w:kern w:val="0"/>
          <w:szCs w:val="22"/>
        </w:rPr>
      </w:pPr>
      <w:r w:rsidRPr="00E227FA">
        <w:rPr>
          <w:rFonts w:cs="Arial"/>
          <w:color w:val="000000"/>
          <w:kern w:val="0"/>
          <w:szCs w:val="22"/>
        </w:rPr>
        <w:t>Manage provider performance for all services that are re</w:t>
      </w:r>
      <w:r w:rsidR="00E227FA">
        <w:rPr>
          <w:rFonts w:cs="Arial"/>
          <w:color w:val="000000"/>
          <w:kern w:val="0"/>
          <w:szCs w:val="22"/>
        </w:rPr>
        <w:t xml:space="preserve">quired to meet the needs of all </w:t>
      </w:r>
      <w:r w:rsidRPr="00E227FA">
        <w:rPr>
          <w:rFonts w:cs="Arial"/>
          <w:color w:val="000000"/>
          <w:kern w:val="0"/>
          <w:szCs w:val="22"/>
        </w:rPr>
        <w:t xml:space="preserve">individuals who qualify for NHS Continuing Healthcare </w:t>
      </w:r>
    </w:p>
    <w:p w14:paraId="614CAE6D" w14:textId="77777777" w:rsidR="00DF68FD" w:rsidRPr="00E227FA" w:rsidRDefault="00DF68FD" w:rsidP="00E227FA">
      <w:pPr>
        <w:numPr>
          <w:ilvl w:val="0"/>
          <w:numId w:val="1"/>
        </w:numPr>
        <w:autoSpaceDE w:val="0"/>
        <w:autoSpaceDN w:val="0"/>
        <w:adjustRightInd w:val="0"/>
        <w:spacing w:line="240" w:lineRule="auto"/>
        <w:ind w:left="284" w:hanging="284"/>
        <w:rPr>
          <w:rFonts w:cs="Arial"/>
          <w:color w:val="000000"/>
          <w:kern w:val="0"/>
          <w:szCs w:val="22"/>
        </w:rPr>
      </w:pPr>
      <w:r w:rsidRPr="00E227FA">
        <w:rPr>
          <w:rFonts w:cs="Arial"/>
          <w:color w:val="000000"/>
          <w:kern w:val="0"/>
          <w:szCs w:val="22"/>
        </w:rPr>
        <w:t>Manage provider performance for the healthcare component of joint package</w:t>
      </w:r>
      <w:r w:rsidR="00E227FA">
        <w:rPr>
          <w:rFonts w:cs="Arial"/>
          <w:color w:val="000000"/>
          <w:kern w:val="0"/>
          <w:szCs w:val="22"/>
        </w:rPr>
        <w:t>s of care</w:t>
      </w:r>
      <w:r w:rsidRPr="00E227FA">
        <w:rPr>
          <w:rFonts w:cs="Arial"/>
          <w:color w:val="000000"/>
          <w:kern w:val="0"/>
          <w:szCs w:val="22"/>
        </w:rPr>
        <w:t xml:space="preserve"> </w:t>
      </w:r>
    </w:p>
    <w:p w14:paraId="55CC704D" w14:textId="77777777" w:rsidR="00DF68FD" w:rsidRPr="00E227FA" w:rsidRDefault="00DF68FD" w:rsidP="00E227FA">
      <w:pPr>
        <w:autoSpaceDE w:val="0"/>
        <w:autoSpaceDN w:val="0"/>
        <w:adjustRightInd w:val="0"/>
        <w:spacing w:line="240" w:lineRule="auto"/>
        <w:rPr>
          <w:rFonts w:cs="Arial"/>
          <w:color w:val="000000"/>
          <w:kern w:val="0"/>
          <w:szCs w:val="22"/>
        </w:rPr>
      </w:pPr>
    </w:p>
    <w:p w14:paraId="1EFD189C" w14:textId="77777777" w:rsidR="00DF68FD" w:rsidRPr="00E227FA" w:rsidRDefault="00DF68FD" w:rsidP="00E227FA">
      <w:pPr>
        <w:autoSpaceDE w:val="0"/>
        <w:autoSpaceDN w:val="0"/>
        <w:adjustRightInd w:val="0"/>
        <w:spacing w:line="240" w:lineRule="auto"/>
        <w:rPr>
          <w:rFonts w:cs="Arial"/>
          <w:color w:val="000000"/>
          <w:kern w:val="0"/>
          <w:szCs w:val="22"/>
        </w:rPr>
      </w:pPr>
      <w:r w:rsidRPr="00E227FA">
        <w:rPr>
          <w:rFonts w:cs="Arial"/>
          <w:color w:val="000000"/>
          <w:kern w:val="0"/>
          <w:szCs w:val="22"/>
        </w:rPr>
        <w:t>The services commissioned will include on-going case management for all those entitled to NHS Continuing Healthcare, as well as for the NHS elements of joint packages of care, including the assessment and review of individual patient needs. To meet this responsibility NEL CCG commissions this provision via a Service Level Agreement with NEL LA.</w:t>
      </w:r>
    </w:p>
    <w:p w14:paraId="6EA5DBF4" w14:textId="77777777" w:rsidR="00DF68FD" w:rsidRPr="00E227FA" w:rsidRDefault="00DF68FD" w:rsidP="00E227FA">
      <w:pPr>
        <w:autoSpaceDE w:val="0"/>
        <w:autoSpaceDN w:val="0"/>
        <w:adjustRightInd w:val="0"/>
        <w:spacing w:line="240" w:lineRule="auto"/>
        <w:rPr>
          <w:rFonts w:cs="Arial"/>
          <w:color w:val="000000"/>
          <w:kern w:val="0"/>
          <w:szCs w:val="22"/>
        </w:rPr>
      </w:pPr>
    </w:p>
    <w:p w14:paraId="6BF42430" w14:textId="77777777" w:rsidR="00DF68FD" w:rsidRPr="00E227FA" w:rsidRDefault="00DF68FD" w:rsidP="00E227FA">
      <w:pPr>
        <w:autoSpaceDE w:val="0"/>
        <w:autoSpaceDN w:val="0"/>
        <w:adjustRightInd w:val="0"/>
        <w:spacing w:line="240" w:lineRule="auto"/>
        <w:rPr>
          <w:rFonts w:cs="Arial"/>
          <w:color w:val="000000"/>
          <w:kern w:val="0"/>
          <w:szCs w:val="22"/>
        </w:rPr>
      </w:pPr>
      <w:r w:rsidRPr="00E227FA">
        <w:rPr>
          <w:rFonts w:cs="Arial"/>
          <w:color w:val="000000"/>
          <w:kern w:val="0"/>
          <w:szCs w:val="22"/>
        </w:rPr>
        <w:t>As well as service contracts, NEL Clinical Commissioning Group as commissioners are responsible for monitoring quality, access and patient experience within the context of provider per</w:t>
      </w:r>
      <w:r w:rsidR="0014551F">
        <w:rPr>
          <w:rFonts w:cs="Arial"/>
          <w:color w:val="000000"/>
          <w:kern w:val="0"/>
          <w:szCs w:val="22"/>
        </w:rPr>
        <w:t>formance.  This is undertaken</w:t>
      </w:r>
      <w:r w:rsidRPr="00E227FA">
        <w:rPr>
          <w:rFonts w:cs="Arial"/>
          <w:color w:val="000000"/>
          <w:kern w:val="0"/>
          <w:szCs w:val="22"/>
        </w:rPr>
        <w:t xml:space="preserve"> by the CCG Quality Team.</w:t>
      </w:r>
    </w:p>
    <w:p w14:paraId="101D2BB8" w14:textId="77777777" w:rsidR="00DF68FD" w:rsidRPr="00E227FA" w:rsidRDefault="00DF68FD" w:rsidP="00E227FA">
      <w:pPr>
        <w:autoSpaceDE w:val="0"/>
        <w:autoSpaceDN w:val="0"/>
        <w:adjustRightInd w:val="0"/>
        <w:spacing w:line="240" w:lineRule="auto"/>
        <w:rPr>
          <w:rFonts w:cs="Arial"/>
          <w:color w:val="000000"/>
          <w:kern w:val="0"/>
          <w:szCs w:val="22"/>
        </w:rPr>
      </w:pPr>
    </w:p>
    <w:p w14:paraId="4A22E312" w14:textId="77777777" w:rsidR="00DF68FD" w:rsidRPr="00E227FA" w:rsidRDefault="00DF68FD" w:rsidP="00E227FA">
      <w:pPr>
        <w:autoSpaceDE w:val="0"/>
        <w:autoSpaceDN w:val="0"/>
        <w:adjustRightInd w:val="0"/>
        <w:spacing w:line="240" w:lineRule="auto"/>
        <w:rPr>
          <w:rFonts w:cs="Arial"/>
          <w:color w:val="000000"/>
          <w:kern w:val="0"/>
          <w:szCs w:val="22"/>
        </w:rPr>
      </w:pPr>
      <w:r w:rsidRPr="00E227FA">
        <w:rPr>
          <w:rFonts w:cs="Arial"/>
          <w:color w:val="000000"/>
          <w:kern w:val="0"/>
          <w:szCs w:val="22"/>
        </w:rPr>
        <w:t xml:space="preserve">NEL Clinical Commissioning Group takes a strategic as well as an individual approach to fulfilling their NHS Continuing Healthcare commissioning responsibilities within the context of quality, innovation, prevention and productivity agenda. </w:t>
      </w:r>
    </w:p>
    <w:p w14:paraId="376E1057" w14:textId="77777777" w:rsidR="00DF68FD" w:rsidRPr="00A868F0" w:rsidRDefault="00DF68FD" w:rsidP="00DF68FD">
      <w:pPr>
        <w:autoSpaceDE w:val="0"/>
        <w:autoSpaceDN w:val="0"/>
        <w:adjustRightInd w:val="0"/>
        <w:spacing w:line="276" w:lineRule="auto"/>
        <w:rPr>
          <w:rFonts w:cs="Arial"/>
          <w:kern w:val="0"/>
          <w:szCs w:val="22"/>
        </w:rPr>
      </w:pPr>
    </w:p>
    <w:p w14:paraId="1475BB8A" w14:textId="77777777" w:rsidR="004A0C47" w:rsidRDefault="00DF68FD" w:rsidP="007114F3">
      <w:pPr>
        <w:autoSpaceDE w:val="0"/>
        <w:autoSpaceDN w:val="0"/>
        <w:adjustRightInd w:val="0"/>
        <w:spacing w:line="240" w:lineRule="auto"/>
        <w:rPr>
          <w:rFonts w:cs="Arial"/>
          <w:color w:val="000000"/>
          <w:kern w:val="0"/>
          <w:szCs w:val="22"/>
        </w:rPr>
      </w:pPr>
      <w:r w:rsidRPr="007114F3">
        <w:rPr>
          <w:rFonts w:cs="Arial"/>
          <w:color w:val="000000"/>
          <w:kern w:val="0"/>
          <w:szCs w:val="22"/>
        </w:rPr>
        <w:t xml:space="preserve">The Commissioners will follow NEL CCG Choice Policy: NHS Funded Care when considering packages of care to ensure that patients and or their representatives choice is balanced with the requirement of the CCG to keep within the set financial limit allocated to the organisation. </w:t>
      </w:r>
    </w:p>
    <w:p w14:paraId="03A8601F" w14:textId="77777777" w:rsidR="00DB6B93" w:rsidRDefault="00DB6B93" w:rsidP="007114F3">
      <w:pPr>
        <w:autoSpaceDE w:val="0"/>
        <w:autoSpaceDN w:val="0"/>
        <w:adjustRightInd w:val="0"/>
        <w:spacing w:line="240" w:lineRule="auto"/>
        <w:rPr>
          <w:rFonts w:cs="Arial"/>
          <w:color w:val="000000"/>
          <w:kern w:val="0"/>
          <w:szCs w:val="22"/>
        </w:rPr>
      </w:pPr>
    </w:p>
    <w:p w14:paraId="6D7C4792" w14:textId="77777777" w:rsidR="00DB6B93" w:rsidRDefault="00DB6B93" w:rsidP="00DB6B93">
      <w:pPr>
        <w:pStyle w:val="Heading1"/>
        <w:rPr>
          <w:rStyle w:val="Heading1Char"/>
        </w:rPr>
      </w:pPr>
      <w:bookmarkStart w:id="15" w:name="_Toc26869244"/>
      <w:r>
        <w:rPr>
          <w:color w:val="000000"/>
          <w:kern w:val="0"/>
        </w:rPr>
        <w:t xml:space="preserve">17.  </w:t>
      </w:r>
      <w:r w:rsidRPr="00DB6B93">
        <w:rPr>
          <w:rStyle w:val="Heading1Char"/>
          <w:b/>
        </w:rPr>
        <w:t>ENDING OF CARE PACKAGES</w:t>
      </w:r>
      <w:bookmarkEnd w:id="15"/>
    </w:p>
    <w:p w14:paraId="53D2A2B9" w14:textId="77777777" w:rsidR="00DB6B93" w:rsidRPr="00DB6B93" w:rsidRDefault="00DB6B93" w:rsidP="007114F3">
      <w:pPr>
        <w:autoSpaceDE w:val="0"/>
        <w:autoSpaceDN w:val="0"/>
        <w:adjustRightInd w:val="0"/>
        <w:spacing w:line="240" w:lineRule="auto"/>
        <w:rPr>
          <w:b/>
          <w:color w:val="000000"/>
          <w:kern w:val="0"/>
        </w:rPr>
      </w:pPr>
    </w:p>
    <w:p w14:paraId="52B9889E" w14:textId="77777777" w:rsidR="00DB6B93" w:rsidRPr="00DB6B93" w:rsidRDefault="00DB6B93" w:rsidP="00DB6B93">
      <w:pPr>
        <w:autoSpaceDE w:val="0"/>
        <w:autoSpaceDN w:val="0"/>
        <w:adjustRightInd w:val="0"/>
        <w:spacing w:line="240" w:lineRule="auto"/>
        <w:rPr>
          <w:rFonts w:cs="Arial"/>
          <w:color w:val="000000"/>
          <w:kern w:val="0"/>
          <w:szCs w:val="22"/>
        </w:rPr>
      </w:pPr>
      <w:r w:rsidRPr="00DB6B93">
        <w:rPr>
          <w:rFonts w:cs="Arial"/>
          <w:color w:val="000000"/>
          <w:kern w:val="0"/>
          <w:szCs w:val="22"/>
        </w:rPr>
        <w:t>When a patient is no longer eligible for NHS continuing healthcare, NHS funding will cease from the date the CCG verifies the MDT recommendation of “no longer eligible”.  The CHC service will notify the Local Authority that the patient is no longer eligible for NHS funding and may require a community care assessment.</w:t>
      </w:r>
    </w:p>
    <w:p w14:paraId="32BB0771" w14:textId="77777777" w:rsidR="00DB6B93" w:rsidRPr="00DB6B93" w:rsidRDefault="00DB6B93" w:rsidP="00DB6B93">
      <w:pPr>
        <w:autoSpaceDE w:val="0"/>
        <w:autoSpaceDN w:val="0"/>
        <w:adjustRightInd w:val="0"/>
        <w:spacing w:line="240" w:lineRule="auto"/>
        <w:rPr>
          <w:rFonts w:cs="Arial"/>
          <w:color w:val="000000"/>
          <w:kern w:val="0"/>
          <w:szCs w:val="22"/>
        </w:rPr>
      </w:pPr>
    </w:p>
    <w:p w14:paraId="4C193F0F" w14:textId="77777777" w:rsidR="00DB6B93" w:rsidRPr="00DB6B93" w:rsidRDefault="00DB6B93" w:rsidP="00DB6B93">
      <w:pPr>
        <w:autoSpaceDE w:val="0"/>
        <w:autoSpaceDN w:val="0"/>
        <w:adjustRightInd w:val="0"/>
        <w:spacing w:line="240" w:lineRule="auto"/>
        <w:rPr>
          <w:rFonts w:cs="Arial"/>
          <w:color w:val="000000"/>
          <w:kern w:val="0"/>
          <w:szCs w:val="22"/>
        </w:rPr>
      </w:pPr>
      <w:r>
        <w:rPr>
          <w:rFonts w:cs="Arial"/>
          <w:color w:val="000000"/>
          <w:kern w:val="0"/>
          <w:szCs w:val="22"/>
        </w:rPr>
        <w:t xml:space="preserve">If the individual declines a community care assessment or following a community care assessment is not eligible for local authority funding ie because they are responsible for </w:t>
      </w:r>
      <w:r>
        <w:rPr>
          <w:rFonts w:cs="Arial"/>
          <w:color w:val="000000"/>
          <w:kern w:val="0"/>
          <w:szCs w:val="22"/>
        </w:rPr>
        <w:lastRenderedPageBreak/>
        <w:t>funding their own care, the CCG will continue to fund care costs for a maximum of 14 days from the individual receiving formal notification of the CCG decision.</w:t>
      </w:r>
    </w:p>
    <w:p w14:paraId="7F950773" w14:textId="77777777" w:rsidR="004A0C47" w:rsidRPr="00DB6B93" w:rsidRDefault="004A0C47" w:rsidP="00DB6B93">
      <w:pPr>
        <w:autoSpaceDE w:val="0"/>
        <w:autoSpaceDN w:val="0"/>
        <w:adjustRightInd w:val="0"/>
        <w:spacing w:line="240" w:lineRule="auto"/>
        <w:rPr>
          <w:rFonts w:cs="Arial"/>
          <w:color w:val="000000"/>
          <w:kern w:val="0"/>
          <w:szCs w:val="22"/>
        </w:rPr>
      </w:pPr>
    </w:p>
    <w:p w14:paraId="134BC14A" w14:textId="77777777" w:rsidR="004A0C47" w:rsidRPr="00DB6B93" w:rsidRDefault="00EB1CEB" w:rsidP="00EB1CEB">
      <w:pPr>
        <w:pStyle w:val="Heading1"/>
      </w:pPr>
      <w:bookmarkStart w:id="16" w:name="_Toc26869245"/>
      <w:r>
        <w:t>18.  CHOICE</w:t>
      </w:r>
      <w:bookmarkEnd w:id="16"/>
    </w:p>
    <w:p w14:paraId="5C42E6C2" w14:textId="77777777" w:rsidR="004A0C47" w:rsidRPr="00EB1CEB" w:rsidRDefault="004A0C47" w:rsidP="00EB1CEB">
      <w:pPr>
        <w:autoSpaceDE w:val="0"/>
        <w:autoSpaceDN w:val="0"/>
        <w:adjustRightInd w:val="0"/>
        <w:spacing w:line="240" w:lineRule="auto"/>
        <w:rPr>
          <w:rFonts w:cs="Arial"/>
          <w:color w:val="000000"/>
          <w:kern w:val="0"/>
          <w:szCs w:val="22"/>
        </w:rPr>
      </w:pPr>
    </w:p>
    <w:p w14:paraId="0D9B8722" w14:textId="43FF9291" w:rsidR="00EB1CEB" w:rsidRDefault="00EB1CEB" w:rsidP="00EB1CEB">
      <w:pPr>
        <w:autoSpaceDE w:val="0"/>
        <w:autoSpaceDN w:val="0"/>
        <w:adjustRightInd w:val="0"/>
        <w:spacing w:line="240" w:lineRule="auto"/>
        <w:rPr>
          <w:rFonts w:cs="Arial"/>
          <w:color w:val="000000"/>
          <w:kern w:val="0"/>
          <w:szCs w:val="22"/>
        </w:rPr>
      </w:pPr>
      <w:r>
        <w:rPr>
          <w:rFonts w:cs="Arial"/>
          <w:color w:val="000000"/>
          <w:kern w:val="0"/>
          <w:szCs w:val="22"/>
        </w:rPr>
        <w:t>The National Framework for NHS Continuing Healthcare &amp; NHS funded-nursing care (DH 2007 revised 2009, 2012</w:t>
      </w:r>
      <w:r w:rsidR="00AD2635">
        <w:rPr>
          <w:rFonts w:cs="Arial"/>
          <w:color w:val="000000"/>
          <w:kern w:val="0"/>
          <w:szCs w:val="22"/>
        </w:rPr>
        <w:t>, 2018</w:t>
      </w:r>
      <w:r>
        <w:rPr>
          <w:rFonts w:cs="Arial"/>
          <w:color w:val="000000"/>
          <w:kern w:val="0"/>
          <w:szCs w:val="22"/>
        </w:rPr>
        <w:t>) states:</w:t>
      </w:r>
    </w:p>
    <w:p w14:paraId="229BD0FC" w14:textId="77777777" w:rsidR="00EB1CEB" w:rsidRDefault="00EB1CEB" w:rsidP="00EB1CEB">
      <w:pPr>
        <w:autoSpaceDE w:val="0"/>
        <w:autoSpaceDN w:val="0"/>
        <w:adjustRightInd w:val="0"/>
        <w:spacing w:line="240" w:lineRule="auto"/>
        <w:rPr>
          <w:rFonts w:cs="Arial"/>
          <w:color w:val="000000"/>
          <w:kern w:val="0"/>
          <w:szCs w:val="22"/>
        </w:rPr>
      </w:pPr>
    </w:p>
    <w:p w14:paraId="4EAD1EC6" w14:textId="77777777" w:rsidR="00EB1CEB" w:rsidRDefault="00EB1CEB" w:rsidP="00EB1CEB">
      <w:pPr>
        <w:autoSpaceDE w:val="0"/>
        <w:autoSpaceDN w:val="0"/>
        <w:adjustRightInd w:val="0"/>
        <w:spacing w:line="240" w:lineRule="auto"/>
        <w:rPr>
          <w:rFonts w:cs="Arial"/>
          <w:color w:val="000000"/>
          <w:kern w:val="0"/>
          <w:szCs w:val="22"/>
        </w:rPr>
      </w:pPr>
      <w:r>
        <w:rPr>
          <w:rFonts w:cs="Arial"/>
          <w:i/>
          <w:color w:val="000000"/>
          <w:kern w:val="0"/>
          <w:szCs w:val="22"/>
        </w:rPr>
        <w:t>“Where a person qualifies for NHS continuing healthcare, the package to be provided is that which the CCG assesses as appropriate to meet all of the individual’s assessed health and associated social care needs.”</w:t>
      </w:r>
    </w:p>
    <w:p w14:paraId="628279DA" w14:textId="77777777" w:rsidR="00EB1CEB" w:rsidRDefault="00EB1CEB" w:rsidP="00EB1CEB">
      <w:pPr>
        <w:autoSpaceDE w:val="0"/>
        <w:autoSpaceDN w:val="0"/>
        <w:adjustRightInd w:val="0"/>
        <w:spacing w:line="240" w:lineRule="auto"/>
        <w:rPr>
          <w:rFonts w:cs="Arial"/>
          <w:color w:val="000000"/>
          <w:kern w:val="0"/>
          <w:szCs w:val="22"/>
        </w:rPr>
      </w:pPr>
    </w:p>
    <w:p w14:paraId="42899DED" w14:textId="77777777" w:rsidR="00EB1CEB" w:rsidRDefault="00EB1CEB" w:rsidP="00EB1CEB">
      <w:pPr>
        <w:autoSpaceDE w:val="0"/>
        <w:autoSpaceDN w:val="0"/>
        <w:adjustRightInd w:val="0"/>
        <w:spacing w:line="240" w:lineRule="auto"/>
        <w:rPr>
          <w:rFonts w:cs="Arial"/>
          <w:color w:val="000000"/>
          <w:kern w:val="0"/>
          <w:szCs w:val="22"/>
        </w:rPr>
      </w:pPr>
      <w:r>
        <w:rPr>
          <w:rFonts w:cs="Arial"/>
          <w:color w:val="000000"/>
          <w:kern w:val="0"/>
          <w:szCs w:val="22"/>
        </w:rPr>
        <w:t>North East Lincolnshire Clinical Commissioning Group will commission the provision of NHS funded continuing healthcare in a manner which reflects the choice and preferences of individuals as far as is reasonably possible, ensuring patient safety, quality of care and making best use of resources.  Cost has to be balanced against other factors in each case, such as a patient’s desire to live at home.</w:t>
      </w:r>
    </w:p>
    <w:p w14:paraId="347C5EFF" w14:textId="77777777" w:rsidR="00EB1CEB" w:rsidRDefault="00EB1CEB" w:rsidP="00EB1CEB">
      <w:pPr>
        <w:autoSpaceDE w:val="0"/>
        <w:autoSpaceDN w:val="0"/>
        <w:adjustRightInd w:val="0"/>
        <w:spacing w:line="240" w:lineRule="auto"/>
        <w:rPr>
          <w:rFonts w:cs="Arial"/>
          <w:color w:val="000000"/>
          <w:kern w:val="0"/>
          <w:szCs w:val="22"/>
        </w:rPr>
      </w:pPr>
      <w:r>
        <w:rPr>
          <w:rFonts w:cs="Arial"/>
          <w:color w:val="000000"/>
          <w:kern w:val="0"/>
          <w:szCs w:val="22"/>
        </w:rPr>
        <w:t>Patient safety will always be paramount in planning a care package and will not be compromised.  Therefore in circumstances where there are concerns about the quality of care in a care home and/or other facility North East Lincolnshire CCG cannot commission care at that time, North East Lincolnshire CCG will work with individuals and their families to commission an alternative package of care elsewhere.</w:t>
      </w:r>
    </w:p>
    <w:p w14:paraId="22552492" w14:textId="77777777" w:rsidR="00EB1CEB" w:rsidRDefault="00EB1CEB" w:rsidP="00EB1CEB">
      <w:pPr>
        <w:autoSpaceDE w:val="0"/>
        <w:autoSpaceDN w:val="0"/>
        <w:adjustRightInd w:val="0"/>
        <w:spacing w:line="240" w:lineRule="auto"/>
        <w:rPr>
          <w:rFonts w:cs="Arial"/>
          <w:color w:val="000000"/>
          <w:kern w:val="0"/>
          <w:szCs w:val="22"/>
        </w:rPr>
      </w:pPr>
    </w:p>
    <w:p w14:paraId="3768B6E7" w14:textId="77777777" w:rsidR="00EB1CEB" w:rsidRDefault="00EB1CEB" w:rsidP="00EB1CEB">
      <w:pPr>
        <w:autoSpaceDE w:val="0"/>
        <w:autoSpaceDN w:val="0"/>
        <w:adjustRightInd w:val="0"/>
        <w:spacing w:line="240" w:lineRule="auto"/>
        <w:rPr>
          <w:rFonts w:cs="Arial"/>
          <w:color w:val="000000"/>
          <w:kern w:val="0"/>
          <w:szCs w:val="22"/>
        </w:rPr>
      </w:pPr>
      <w:r>
        <w:rPr>
          <w:rFonts w:cs="Arial"/>
          <w:color w:val="000000"/>
          <w:kern w:val="0"/>
          <w:szCs w:val="22"/>
        </w:rPr>
        <w:t>North East Lincolnshire CCG is required to balance the patient’s preference alongside safety and value for money, consequently patients will have a choice from amongst providers that have a contract with North East Lincolnshire CCG and have agreed North East Lincolnshire CCG’s quality and pricing structure.  This applies equally to home care packages of care.</w:t>
      </w:r>
    </w:p>
    <w:p w14:paraId="473D88CB" w14:textId="77777777" w:rsidR="00BA5AAA" w:rsidRDefault="00BA5AAA" w:rsidP="00EB1CEB">
      <w:pPr>
        <w:autoSpaceDE w:val="0"/>
        <w:autoSpaceDN w:val="0"/>
        <w:adjustRightInd w:val="0"/>
        <w:spacing w:line="240" w:lineRule="auto"/>
        <w:rPr>
          <w:rFonts w:cs="Arial"/>
          <w:color w:val="000000"/>
          <w:kern w:val="0"/>
          <w:szCs w:val="22"/>
        </w:rPr>
      </w:pPr>
    </w:p>
    <w:p w14:paraId="1EB5BB86" w14:textId="77777777" w:rsidR="00BA5AAA" w:rsidRDefault="00BA5AAA" w:rsidP="00EB1CEB">
      <w:pPr>
        <w:autoSpaceDE w:val="0"/>
        <w:autoSpaceDN w:val="0"/>
        <w:adjustRightInd w:val="0"/>
        <w:spacing w:line="240" w:lineRule="auto"/>
        <w:rPr>
          <w:rFonts w:cs="Arial"/>
          <w:color w:val="000000"/>
          <w:kern w:val="0"/>
          <w:szCs w:val="22"/>
        </w:rPr>
      </w:pPr>
      <w:r>
        <w:rPr>
          <w:rFonts w:cs="Arial"/>
          <w:color w:val="000000"/>
          <w:kern w:val="0"/>
          <w:szCs w:val="22"/>
        </w:rPr>
        <w:t>North East Lincolnshire CCG’s choice policy can be accessed by following the link below:</w:t>
      </w:r>
    </w:p>
    <w:p w14:paraId="3CE7CD1C" w14:textId="77777777" w:rsidR="00BA5AAA" w:rsidRDefault="00BA5AAA" w:rsidP="00EB1CEB">
      <w:pPr>
        <w:autoSpaceDE w:val="0"/>
        <w:autoSpaceDN w:val="0"/>
        <w:adjustRightInd w:val="0"/>
        <w:spacing w:line="240" w:lineRule="auto"/>
        <w:rPr>
          <w:rFonts w:cs="Arial"/>
          <w:color w:val="000000"/>
          <w:kern w:val="0"/>
          <w:szCs w:val="22"/>
        </w:rPr>
      </w:pPr>
    </w:p>
    <w:p w14:paraId="23B48550" w14:textId="77777777" w:rsidR="000E23F2" w:rsidRDefault="004641F0" w:rsidP="00EB1CEB">
      <w:pPr>
        <w:autoSpaceDE w:val="0"/>
        <w:autoSpaceDN w:val="0"/>
        <w:adjustRightInd w:val="0"/>
        <w:spacing w:line="240" w:lineRule="auto"/>
        <w:rPr>
          <w:rFonts w:cs="Arial"/>
          <w:color w:val="000000"/>
          <w:kern w:val="0"/>
          <w:szCs w:val="22"/>
        </w:rPr>
      </w:pPr>
      <w:hyperlink r:id="rId15" w:history="1">
        <w:r w:rsidR="000E23F2" w:rsidRPr="00800AD6">
          <w:rPr>
            <w:rStyle w:val="Hyperlink"/>
            <w:rFonts w:cs="Arial"/>
            <w:color w:val="2F5496" w:themeColor="accent5" w:themeShade="BF"/>
            <w:kern w:val="0"/>
            <w:szCs w:val="22"/>
          </w:rPr>
          <w:t>Choice</w:t>
        </w:r>
      </w:hyperlink>
      <w:r w:rsidR="000E23F2">
        <w:rPr>
          <w:rFonts w:cs="Arial"/>
          <w:color w:val="000000"/>
          <w:kern w:val="0"/>
          <w:szCs w:val="22"/>
        </w:rPr>
        <w:t xml:space="preserve"> Policy</w:t>
      </w:r>
    </w:p>
    <w:p w14:paraId="5F6B153E" w14:textId="77777777" w:rsidR="000E23F2" w:rsidRPr="00EB1CEB" w:rsidRDefault="000E23F2" w:rsidP="00EB1CEB">
      <w:pPr>
        <w:autoSpaceDE w:val="0"/>
        <w:autoSpaceDN w:val="0"/>
        <w:adjustRightInd w:val="0"/>
        <w:spacing w:line="240" w:lineRule="auto"/>
        <w:rPr>
          <w:rFonts w:cs="Arial"/>
          <w:color w:val="000000"/>
          <w:kern w:val="0"/>
          <w:szCs w:val="22"/>
        </w:rPr>
      </w:pPr>
    </w:p>
    <w:p w14:paraId="2A1ADACB" w14:textId="77777777" w:rsidR="00B97C15" w:rsidRDefault="00B97C15" w:rsidP="00D9020B">
      <w:pPr>
        <w:autoSpaceDE w:val="0"/>
        <w:autoSpaceDN w:val="0"/>
        <w:adjustRightInd w:val="0"/>
        <w:spacing w:line="240" w:lineRule="auto"/>
        <w:ind w:left="397" w:hanging="397"/>
        <w:rPr>
          <w:rFonts w:cs="Arial"/>
          <w:b/>
          <w:bCs/>
          <w:color w:val="000000"/>
          <w:kern w:val="0"/>
          <w:szCs w:val="22"/>
        </w:rPr>
      </w:pPr>
      <w:bookmarkStart w:id="17" w:name="_Toc26869246"/>
      <w:r w:rsidRPr="00B97C15">
        <w:rPr>
          <w:rStyle w:val="Heading1Char"/>
        </w:rPr>
        <w:t>19.  JOINT/INTEGRATED PACKAGES OF HEALTH AND SOCIAL CARE SERVICES</w:t>
      </w:r>
      <w:bookmarkEnd w:id="17"/>
    </w:p>
    <w:p w14:paraId="63486D78" w14:textId="77777777" w:rsidR="00B97C15" w:rsidRDefault="00B97C15" w:rsidP="00B97C15">
      <w:pPr>
        <w:autoSpaceDE w:val="0"/>
        <w:autoSpaceDN w:val="0"/>
        <w:adjustRightInd w:val="0"/>
        <w:spacing w:line="240" w:lineRule="auto"/>
        <w:rPr>
          <w:rFonts w:cs="Arial"/>
          <w:color w:val="000000"/>
          <w:kern w:val="0"/>
          <w:szCs w:val="22"/>
        </w:rPr>
      </w:pPr>
    </w:p>
    <w:p w14:paraId="6C9C789F" w14:textId="77777777" w:rsidR="00B97C15" w:rsidRPr="00A868F0" w:rsidRDefault="00B97C15" w:rsidP="00B97C15">
      <w:pPr>
        <w:autoSpaceDE w:val="0"/>
        <w:autoSpaceDN w:val="0"/>
        <w:adjustRightInd w:val="0"/>
        <w:spacing w:line="240" w:lineRule="auto"/>
        <w:rPr>
          <w:rFonts w:cs="Arial"/>
          <w:color w:val="000000"/>
          <w:kern w:val="0"/>
          <w:szCs w:val="22"/>
        </w:rPr>
      </w:pPr>
      <w:r w:rsidRPr="00A868F0">
        <w:rPr>
          <w:rFonts w:cs="Arial"/>
          <w:color w:val="000000"/>
          <w:kern w:val="0"/>
          <w:szCs w:val="22"/>
        </w:rPr>
        <w:t xml:space="preserve">If a person is not eligible for NHS continuing healthcare, they may receive a package of health and social care (rather than be fully funded by the NHS) </w:t>
      </w:r>
    </w:p>
    <w:p w14:paraId="49CC5868" w14:textId="77777777" w:rsidR="00B97C15" w:rsidRPr="00A868F0" w:rsidRDefault="00B97C15" w:rsidP="00B97C15">
      <w:pPr>
        <w:autoSpaceDE w:val="0"/>
        <w:autoSpaceDN w:val="0"/>
        <w:adjustRightInd w:val="0"/>
        <w:spacing w:line="240" w:lineRule="auto"/>
        <w:rPr>
          <w:rFonts w:cs="Arial"/>
          <w:color w:val="000000"/>
          <w:kern w:val="0"/>
          <w:szCs w:val="22"/>
        </w:rPr>
      </w:pPr>
    </w:p>
    <w:p w14:paraId="3F68764E" w14:textId="77777777" w:rsidR="00B97C15" w:rsidRPr="00A868F0" w:rsidRDefault="00B97C15" w:rsidP="00B97C15">
      <w:pPr>
        <w:autoSpaceDE w:val="0"/>
        <w:autoSpaceDN w:val="0"/>
        <w:adjustRightInd w:val="0"/>
        <w:spacing w:line="240" w:lineRule="auto"/>
        <w:rPr>
          <w:rFonts w:cs="Arial"/>
          <w:color w:val="000000"/>
          <w:kern w:val="0"/>
          <w:szCs w:val="22"/>
        </w:rPr>
      </w:pPr>
      <w:r w:rsidRPr="00A868F0">
        <w:rPr>
          <w:rFonts w:cs="Arial"/>
          <w:color w:val="000000"/>
          <w:kern w:val="0"/>
          <w:szCs w:val="22"/>
        </w:rPr>
        <w:t xml:space="preserve">There will be some individuals who, although they are not entitled to NHS continuing healthcare (because ‘taken as a whole’ their needs </w:t>
      </w:r>
      <w:r w:rsidR="00504C73">
        <w:rPr>
          <w:rFonts w:cs="Arial"/>
          <w:color w:val="000000"/>
          <w:kern w:val="0"/>
          <w:szCs w:val="22"/>
        </w:rPr>
        <w:t>are not beyond the powers of a local a</w:t>
      </w:r>
      <w:r w:rsidRPr="00A868F0">
        <w:rPr>
          <w:rFonts w:cs="Arial"/>
          <w:color w:val="000000"/>
          <w:kern w:val="0"/>
          <w:szCs w:val="22"/>
        </w:rPr>
        <w:t xml:space="preserve">uthority to meet), but nonetheless have some specific needs identified through the Decision Support Tool </w:t>
      </w:r>
      <w:r w:rsidR="00504C73">
        <w:rPr>
          <w:rFonts w:cs="Arial"/>
          <w:color w:val="000000"/>
          <w:kern w:val="0"/>
          <w:szCs w:val="22"/>
        </w:rPr>
        <w:t xml:space="preserve">that are not of a nature that a Local </w:t>
      </w:r>
      <w:r w:rsidRPr="00A868F0">
        <w:rPr>
          <w:rFonts w:cs="Arial"/>
          <w:color w:val="000000"/>
          <w:kern w:val="0"/>
          <w:szCs w:val="22"/>
        </w:rPr>
        <w:t>A</w:t>
      </w:r>
      <w:r w:rsidR="00504C73">
        <w:rPr>
          <w:rFonts w:cs="Arial"/>
          <w:color w:val="000000"/>
          <w:kern w:val="0"/>
          <w:szCs w:val="22"/>
        </w:rPr>
        <w:t>uthority</w:t>
      </w:r>
      <w:r w:rsidRPr="00A868F0">
        <w:rPr>
          <w:rFonts w:cs="Arial"/>
          <w:color w:val="000000"/>
          <w:kern w:val="0"/>
          <w:szCs w:val="22"/>
        </w:rPr>
        <w:t xml:space="preserve"> can solely meet or are beyond the powers</w:t>
      </w:r>
      <w:r w:rsidR="00504C73">
        <w:rPr>
          <w:rFonts w:cs="Arial"/>
          <w:color w:val="000000"/>
          <w:kern w:val="0"/>
          <w:szCs w:val="22"/>
        </w:rPr>
        <w:t xml:space="preserve"> of a</w:t>
      </w:r>
      <w:r w:rsidRPr="00A868F0">
        <w:rPr>
          <w:rFonts w:cs="Arial"/>
          <w:color w:val="000000"/>
          <w:kern w:val="0"/>
          <w:szCs w:val="22"/>
        </w:rPr>
        <w:t xml:space="preserve"> L</w:t>
      </w:r>
      <w:r w:rsidR="00504C73">
        <w:rPr>
          <w:rFonts w:cs="Arial"/>
          <w:color w:val="000000"/>
          <w:kern w:val="0"/>
          <w:szCs w:val="22"/>
        </w:rPr>
        <w:t xml:space="preserve">ocal </w:t>
      </w:r>
      <w:r w:rsidR="00504C73" w:rsidRPr="00A868F0">
        <w:rPr>
          <w:rFonts w:cs="Arial"/>
          <w:color w:val="000000"/>
          <w:kern w:val="0"/>
          <w:szCs w:val="22"/>
        </w:rPr>
        <w:t>A</w:t>
      </w:r>
      <w:r w:rsidR="00504C73">
        <w:rPr>
          <w:rFonts w:cs="Arial"/>
          <w:color w:val="000000"/>
          <w:kern w:val="0"/>
          <w:szCs w:val="22"/>
        </w:rPr>
        <w:t>uthority</w:t>
      </w:r>
      <w:r w:rsidRPr="00A868F0">
        <w:rPr>
          <w:rFonts w:cs="Arial"/>
          <w:color w:val="000000"/>
          <w:kern w:val="0"/>
          <w:szCs w:val="22"/>
        </w:rPr>
        <w:t xml:space="preserve"> to solely meet. N</w:t>
      </w:r>
      <w:r w:rsidR="00504C73">
        <w:rPr>
          <w:rFonts w:cs="Arial"/>
          <w:color w:val="000000"/>
          <w:kern w:val="0"/>
          <w:szCs w:val="22"/>
        </w:rPr>
        <w:t xml:space="preserve">orth </w:t>
      </w:r>
      <w:r w:rsidRPr="00A868F0">
        <w:rPr>
          <w:rFonts w:cs="Arial"/>
          <w:color w:val="000000"/>
          <w:kern w:val="0"/>
          <w:szCs w:val="22"/>
        </w:rPr>
        <w:t>E</w:t>
      </w:r>
      <w:r w:rsidR="00504C73">
        <w:rPr>
          <w:rFonts w:cs="Arial"/>
          <w:color w:val="000000"/>
          <w:kern w:val="0"/>
          <w:szCs w:val="22"/>
        </w:rPr>
        <w:t xml:space="preserve">ast </w:t>
      </w:r>
      <w:r w:rsidRPr="00A868F0">
        <w:rPr>
          <w:rFonts w:cs="Arial"/>
          <w:color w:val="000000"/>
          <w:kern w:val="0"/>
          <w:szCs w:val="22"/>
        </w:rPr>
        <w:t>L</w:t>
      </w:r>
      <w:r w:rsidR="00504C73">
        <w:rPr>
          <w:rFonts w:cs="Arial"/>
          <w:color w:val="000000"/>
          <w:kern w:val="0"/>
          <w:szCs w:val="22"/>
        </w:rPr>
        <w:t>incolnshire</w:t>
      </w:r>
      <w:r w:rsidRPr="00A868F0">
        <w:rPr>
          <w:rFonts w:cs="Arial"/>
          <w:color w:val="000000"/>
          <w:kern w:val="0"/>
          <w:szCs w:val="22"/>
        </w:rPr>
        <w:t xml:space="preserve"> CCG will work in partnership with its L</w:t>
      </w:r>
      <w:r w:rsidR="00504C73">
        <w:rPr>
          <w:rFonts w:cs="Arial"/>
          <w:color w:val="000000"/>
          <w:kern w:val="0"/>
          <w:szCs w:val="22"/>
        </w:rPr>
        <w:t xml:space="preserve">ocal </w:t>
      </w:r>
      <w:r w:rsidRPr="00A868F0">
        <w:rPr>
          <w:rFonts w:cs="Arial"/>
          <w:color w:val="000000"/>
          <w:kern w:val="0"/>
          <w:szCs w:val="22"/>
        </w:rPr>
        <w:t>A</w:t>
      </w:r>
      <w:r w:rsidR="00504C73">
        <w:rPr>
          <w:rFonts w:cs="Arial"/>
          <w:color w:val="000000"/>
          <w:kern w:val="0"/>
          <w:szCs w:val="22"/>
        </w:rPr>
        <w:t>uthority</w:t>
      </w:r>
      <w:r w:rsidRPr="00A868F0">
        <w:rPr>
          <w:rFonts w:cs="Arial"/>
          <w:color w:val="000000"/>
          <w:kern w:val="0"/>
          <w:szCs w:val="22"/>
        </w:rPr>
        <w:t xml:space="preserve"> colleagues to agree their respective responsibilities in a joint package of care, including which party will take the lead commissioning role. </w:t>
      </w:r>
    </w:p>
    <w:p w14:paraId="258F7716" w14:textId="77777777" w:rsidR="00B97C15" w:rsidRPr="00A868F0" w:rsidRDefault="00B97C15" w:rsidP="00B97C15">
      <w:pPr>
        <w:autoSpaceDE w:val="0"/>
        <w:autoSpaceDN w:val="0"/>
        <w:adjustRightInd w:val="0"/>
        <w:spacing w:line="240" w:lineRule="auto"/>
        <w:rPr>
          <w:rFonts w:cs="Arial"/>
          <w:color w:val="000000"/>
          <w:kern w:val="0"/>
          <w:szCs w:val="22"/>
        </w:rPr>
      </w:pPr>
    </w:p>
    <w:p w14:paraId="0BD85E4A" w14:textId="77777777" w:rsidR="00B97C15" w:rsidRPr="00A868F0" w:rsidRDefault="00B97C15" w:rsidP="00B97C15">
      <w:pPr>
        <w:autoSpaceDE w:val="0"/>
        <w:autoSpaceDN w:val="0"/>
        <w:adjustRightInd w:val="0"/>
        <w:spacing w:line="240" w:lineRule="auto"/>
        <w:rPr>
          <w:rFonts w:cs="Arial"/>
          <w:color w:val="000000"/>
          <w:kern w:val="0"/>
          <w:szCs w:val="22"/>
        </w:rPr>
      </w:pPr>
      <w:r w:rsidRPr="00A868F0">
        <w:rPr>
          <w:rFonts w:cs="Arial"/>
          <w:color w:val="000000"/>
          <w:kern w:val="0"/>
          <w:szCs w:val="22"/>
        </w:rPr>
        <w:t xml:space="preserve">Apart from NHS-funded nursing care, additional health services may also be funded by the NHS, if these are identified and agreed as part of an assessment and care plan. The range of services that the NHS is expected to arrange and fund includes, but is not limited to:  </w:t>
      </w:r>
    </w:p>
    <w:p w14:paraId="06A5E174" w14:textId="77777777" w:rsidR="00B97C15" w:rsidRPr="00A868F0" w:rsidRDefault="00B97C15" w:rsidP="00B97C15">
      <w:pPr>
        <w:autoSpaceDE w:val="0"/>
        <w:autoSpaceDN w:val="0"/>
        <w:adjustRightInd w:val="0"/>
        <w:spacing w:line="240" w:lineRule="auto"/>
        <w:rPr>
          <w:rFonts w:cs="Arial"/>
          <w:color w:val="000000"/>
          <w:kern w:val="0"/>
          <w:szCs w:val="22"/>
        </w:rPr>
      </w:pPr>
    </w:p>
    <w:p w14:paraId="24C6C4D5" w14:textId="77777777" w:rsidR="00B97C15" w:rsidRPr="00A868F0" w:rsidRDefault="00B97C15" w:rsidP="00504C73">
      <w:pPr>
        <w:numPr>
          <w:ilvl w:val="0"/>
          <w:numId w:val="1"/>
        </w:numPr>
        <w:autoSpaceDE w:val="0"/>
        <w:autoSpaceDN w:val="0"/>
        <w:adjustRightInd w:val="0"/>
        <w:spacing w:line="240" w:lineRule="auto"/>
        <w:ind w:left="284" w:hanging="284"/>
        <w:rPr>
          <w:rFonts w:cs="Arial"/>
          <w:color w:val="000000"/>
          <w:kern w:val="0"/>
          <w:szCs w:val="22"/>
        </w:rPr>
      </w:pPr>
      <w:r w:rsidRPr="00A868F0">
        <w:rPr>
          <w:rFonts w:cs="Arial"/>
          <w:color w:val="000000"/>
          <w:kern w:val="0"/>
          <w:szCs w:val="22"/>
        </w:rPr>
        <w:t xml:space="preserve">primary healthcare; </w:t>
      </w:r>
    </w:p>
    <w:p w14:paraId="7879E0DD" w14:textId="77777777" w:rsidR="00B97C15" w:rsidRPr="00A868F0" w:rsidRDefault="00B97C15" w:rsidP="00504C73">
      <w:pPr>
        <w:numPr>
          <w:ilvl w:val="0"/>
          <w:numId w:val="1"/>
        </w:numPr>
        <w:autoSpaceDE w:val="0"/>
        <w:autoSpaceDN w:val="0"/>
        <w:adjustRightInd w:val="0"/>
        <w:spacing w:line="240" w:lineRule="auto"/>
        <w:ind w:left="284" w:hanging="284"/>
        <w:rPr>
          <w:rFonts w:cs="Arial"/>
          <w:color w:val="000000"/>
          <w:kern w:val="0"/>
          <w:szCs w:val="22"/>
        </w:rPr>
      </w:pPr>
      <w:r w:rsidRPr="00A868F0">
        <w:rPr>
          <w:rFonts w:cs="Arial"/>
          <w:color w:val="000000"/>
          <w:kern w:val="0"/>
          <w:szCs w:val="22"/>
        </w:rPr>
        <w:t xml:space="preserve">assessment involving doctors and registered nurses; </w:t>
      </w:r>
    </w:p>
    <w:p w14:paraId="76B4750B" w14:textId="77777777" w:rsidR="00B97C15" w:rsidRPr="00A868F0" w:rsidRDefault="00504C73" w:rsidP="00504C73">
      <w:pPr>
        <w:numPr>
          <w:ilvl w:val="0"/>
          <w:numId w:val="1"/>
        </w:numPr>
        <w:autoSpaceDE w:val="0"/>
        <w:autoSpaceDN w:val="0"/>
        <w:adjustRightInd w:val="0"/>
        <w:spacing w:line="240" w:lineRule="auto"/>
        <w:ind w:left="284" w:hanging="284"/>
        <w:rPr>
          <w:rFonts w:cs="Arial"/>
          <w:color w:val="000000"/>
          <w:kern w:val="0"/>
          <w:szCs w:val="22"/>
        </w:rPr>
      </w:pPr>
      <w:r>
        <w:rPr>
          <w:rFonts w:cs="Arial"/>
          <w:color w:val="000000"/>
          <w:kern w:val="0"/>
          <w:szCs w:val="22"/>
        </w:rPr>
        <w:lastRenderedPageBreak/>
        <w:t>rehabilitation/re</w:t>
      </w:r>
      <w:r w:rsidR="00B97C15" w:rsidRPr="00A868F0">
        <w:rPr>
          <w:rFonts w:cs="Arial"/>
          <w:color w:val="000000"/>
          <w:kern w:val="0"/>
          <w:szCs w:val="22"/>
        </w:rPr>
        <w:t>ablement and recovery (wher</w:t>
      </w:r>
      <w:r>
        <w:rPr>
          <w:rFonts w:cs="Arial"/>
          <w:color w:val="000000"/>
          <w:kern w:val="0"/>
          <w:szCs w:val="22"/>
        </w:rPr>
        <w:t xml:space="preserve">e this forms part of an overall </w:t>
      </w:r>
      <w:r w:rsidR="00B97C15" w:rsidRPr="00A868F0">
        <w:rPr>
          <w:rFonts w:cs="Arial"/>
          <w:color w:val="000000"/>
          <w:kern w:val="0"/>
          <w:szCs w:val="22"/>
        </w:rPr>
        <w:t xml:space="preserve">package of NHS care, as distinct from intermediate care); </w:t>
      </w:r>
    </w:p>
    <w:p w14:paraId="03FB2375" w14:textId="77777777" w:rsidR="00B97C15" w:rsidRPr="00A868F0" w:rsidRDefault="00B97C15" w:rsidP="00504C73">
      <w:pPr>
        <w:numPr>
          <w:ilvl w:val="0"/>
          <w:numId w:val="1"/>
        </w:numPr>
        <w:autoSpaceDE w:val="0"/>
        <w:autoSpaceDN w:val="0"/>
        <w:adjustRightInd w:val="0"/>
        <w:spacing w:line="240" w:lineRule="auto"/>
        <w:ind w:left="284" w:hanging="284"/>
        <w:rPr>
          <w:rFonts w:cs="Arial"/>
          <w:color w:val="000000"/>
          <w:kern w:val="0"/>
          <w:szCs w:val="22"/>
        </w:rPr>
      </w:pPr>
      <w:r w:rsidRPr="00A868F0">
        <w:rPr>
          <w:rFonts w:cs="Arial"/>
          <w:color w:val="000000"/>
          <w:kern w:val="0"/>
          <w:szCs w:val="22"/>
        </w:rPr>
        <w:t xml:space="preserve">respite healthcare; </w:t>
      </w:r>
    </w:p>
    <w:p w14:paraId="548BE7BD" w14:textId="77777777" w:rsidR="00B97C15" w:rsidRPr="00A868F0" w:rsidRDefault="00B97C15" w:rsidP="00504C73">
      <w:pPr>
        <w:numPr>
          <w:ilvl w:val="0"/>
          <w:numId w:val="1"/>
        </w:numPr>
        <w:autoSpaceDE w:val="0"/>
        <w:autoSpaceDN w:val="0"/>
        <w:adjustRightInd w:val="0"/>
        <w:spacing w:line="240" w:lineRule="auto"/>
        <w:ind w:left="284" w:hanging="284"/>
        <w:rPr>
          <w:rFonts w:cs="Arial"/>
          <w:color w:val="000000"/>
          <w:kern w:val="0"/>
          <w:szCs w:val="22"/>
        </w:rPr>
      </w:pPr>
      <w:r w:rsidRPr="00A868F0">
        <w:rPr>
          <w:rFonts w:cs="Arial"/>
          <w:color w:val="000000"/>
          <w:kern w:val="0"/>
          <w:szCs w:val="22"/>
        </w:rPr>
        <w:t xml:space="preserve">community health services; </w:t>
      </w:r>
    </w:p>
    <w:p w14:paraId="16462C42" w14:textId="77777777" w:rsidR="00B97C15" w:rsidRPr="00A868F0" w:rsidRDefault="00B97C15" w:rsidP="00504C73">
      <w:pPr>
        <w:numPr>
          <w:ilvl w:val="0"/>
          <w:numId w:val="1"/>
        </w:numPr>
        <w:autoSpaceDE w:val="0"/>
        <w:autoSpaceDN w:val="0"/>
        <w:adjustRightInd w:val="0"/>
        <w:spacing w:line="240" w:lineRule="auto"/>
        <w:ind w:left="284" w:hanging="284"/>
        <w:rPr>
          <w:rFonts w:cs="Arial"/>
          <w:color w:val="000000"/>
          <w:kern w:val="0"/>
          <w:szCs w:val="22"/>
        </w:rPr>
      </w:pPr>
      <w:r w:rsidRPr="00A868F0">
        <w:rPr>
          <w:rFonts w:cs="Arial"/>
          <w:color w:val="000000"/>
          <w:kern w:val="0"/>
          <w:szCs w:val="22"/>
        </w:rPr>
        <w:t xml:space="preserve">specialist support for healthcare needs; and </w:t>
      </w:r>
    </w:p>
    <w:p w14:paraId="1D1C975A" w14:textId="77777777" w:rsidR="00B97C15" w:rsidRPr="00A868F0" w:rsidRDefault="00B97C15" w:rsidP="00504C73">
      <w:pPr>
        <w:numPr>
          <w:ilvl w:val="0"/>
          <w:numId w:val="1"/>
        </w:numPr>
        <w:autoSpaceDE w:val="0"/>
        <w:autoSpaceDN w:val="0"/>
        <w:adjustRightInd w:val="0"/>
        <w:spacing w:line="240" w:lineRule="auto"/>
        <w:ind w:left="284" w:hanging="284"/>
        <w:rPr>
          <w:rFonts w:cs="Arial"/>
          <w:color w:val="000000"/>
          <w:kern w:val="0"/>
          <w:szCs w:val="22"/>
        </w:rPr>
      </w:pPr>
      <w:r w:rsidRPr="00A868F0">
        <w:rPr>
          <w:rFonts w:cs="Arial"/>
          <w:color w:val="000000"/>
          <w:kern w:val="0"/>
          <w:szCs w:val="22"/>
        </w:rPr>
        <w:t>palliative care and end of life healthcare.</w:t>
      </w:r>
    </w:p>
    <w:p w14:paraId="6CE71416" w14:textId="77777777" w:rsidR="004A0C47" w:rsidRPr="00EB1CEB" w:rsidRDefault="004A0C47" w:rsidP="00504C73">
      <w:pPr>
        <w:autoSpaceDE w:val="0"/>
        <w:autoSpaceDN w:val="0"/>
        <w:adjustRightInd w:val="0"/>
        <w:spacing w:line="240" w:lineRule="auto"/>
        <w:ind w:left="284"/>
        <w:rPr>
          <w:rFonts w:cs="Arial"/>
          <w:color w:val="000000"/>
          <w:kern w:val="0"/>
          <w:szCs w:val="22"/>
        </w:rPr>
      </w:pPr>
    </w:p>
    <w:p w14:paraId="77FA7943" w14:textId="77777777" w:rsidR="0074249F" w:rsidRPr="00A868F0" w:rsidRDefault="0074249F" w:rsidP="0074249F">
      <w:pPr>
        <w:pStyle w:val="Heading1"/>
      </w:pPr>
      <w:bookmarkStart w:id="18" w:name="_Toc26869247"/>
      <w:r>
        <w:t>20.  PERSONAL HEALTH BUDGETS</w:t>
      </w:r>
      <w:bookmarkEnd w:id="18"/>
    </w:p>
    <w:p w14:paraId="5F0B077C" w14:textId="77777777" w:rsidR="0074249F" w:rsidRDefault="0074249F" w:rsidP="0074249F">
      <w:pPr>
        <w:autoSpaceDE w:val="0"/>
        <w:autoSpaceDN w:val="0"/>
        <w:adjustRightInd w:val="0"/>
        <w:spacing w:line="240" w:lineRule="auto"/>
        <w:ind w:left="284"/>
        <w:rPr>
          <w:rFonts w:cs="Arial"/>
          <w:b/>
          <w:bCs/>
          <w:color w:val="000000"/>
          <w:kern w:val="0"/>
          <w:szCs w:val="22"/>
        </w:rPr>
      </w:pPr>
    </w:p>
    <w:p w14:paraId="452AFB89" w14:textId="77777777" w:rsidR="0074249F" w:rsidRPr="00A868F0" w:rsidRDefault="0074249F" w:rsidP="0074249F">
      <w:pPr>
        <w:autoSpaceDE w:val="0"/>
        <w:autoSpaceDN w:val="0"/>
        <w:adjustRightInd w:val="0"/>
        <w:spacing w:line="240" w:lineRule="auto"/>
        <w:rPr>
          <w:rFonts w:cs="Arial"/>
          <w:color w:val="000000"/>
          <w:kern w:val="0"/>
          <w:szCs w:val="22"/>
        </w:rPr>
      </w:pPr>
      <w:r w:rsidRPr="00A868F0">
        <w:rPr>
          <w:rFonts w:cs="Arial"/>
          <w:color w:val="000000"/>
          <w:kern w:val="0"/>
          <w:szCs w:val="22"/>
        </w:rPr>
        <w:t xml:space="preserve">CCGs are required to offer personal health budgets to people in receipt of NHS Continuing Healthcare funding, in order to give patients better flexibility, choice and control over their care. A personal health budget helps people to get the services they need to achieve their agreed health and wellbeing outcomes (agreed between the patient and clinician). Financially, personal health budgets can be managed in a number of ways, including: </w:t>
      </w:r>
    </w:p>
    <w:p w14:paraId="1D00884B" w14:textId="77777777" w:rsidR="0074249F" w:rsidRPr="00A868F0" w:rsidRDefault="0074249F" w:rsidP="0074249F">
      <w:pPr>
        <w:autoSpaceDE w:val="0"/>
        <w:autoSpaceDN w:val="0"/>
        <w:adjustRightInd w:val="0"/>
        <w:spacing w:line="240" w:lineRule="auto"/>
        <w:ind w:left="284"/>
        <w:rPr>
          <w:rFonts w:cs="Arial"/>
          <w:color w:val="000000"/>
          <w:kern w:val="0"/>
          <w:szCs w:val="22"/>
        </w:rPr>
      </w:pPr>
    </w:p>
    <w:p w14:paraId="387970B3" w14:textId="77777777" w:rsidR="0074249F" w:rsidRPr="00A868F0" w:rsidRDefault="0074249F" w:rsidP="0074249F">
      <w:pPr>
        <w:numPr>
          <w:ilvl w:val="0"/>
          <w:numId w:val="1"/>
        </w:numPr>
        <w:autoSpaceDE w:val="0"/>
        <w:autoSpaceDN w:val="0"/>
        <w:adjustRightInd w:val="0"/>
        <w:spacing w:line="240" w:lineRule="auto"/>
        <w:ind w:left="284" w:hanging="284"/>
        <w:rPr>
          <w:rFonts w:cs="Arial"/>
          <w:color w:val="000000"/>
          <w:kern w:val="0"/>
          <w:szCs w:val="22"/>
        </w:rPr>
      </w:pPr>
      <w:r w:rsidRPr="00A868F0">
        <w:rPr>
          <w:rFonts w:cs="Arial"/>
          <w:color w:val="000000"/>
          <w:kern w:val="0"/>
          <w:szCs w:val="22"/>
        </w:rPr>
        <w:t xml:space="preserve">A notional budget held by the CCG commissioner </w:t>
      </w:r>
    </w:p>
    <w:p w14:paraId="25E5597F" w14:textId="77777777" w:rsidR="0074249F" w:rsidRPr="00A868F0" w:rsidRDefault="0074249F" w:rsidP="0074249F">
      <w:pPr>
        <w:numPr>
          <w:ilvl w:val="0"/>
          <w:numId w:val="1"/>
        </w:numPr>
        <w:autoSpaceDE w:val="0"/>
        <w:autoSpaceDN w:val="0"/>
        <w:adjustRightInd w:val="0"/>
        <w:spacing w:line="240" w:lineRule="auto"/>
        <w:ind w:left="284" w:hanging="284"/>
        <w:rPr>
          <w:rFonts w:cs="Arial"/>
          <w:color w:val="000000"/>
          <w:kern w:val="0"/>
          <w:szCs w:val="22"/>
        </w:rPr>
      </w:pPr>
      <w:r w:rsidRPr="00A868F0">
        <w:rPr>
          <w:rFonts w:cs="Arial"/>
          <w:color w:val="000000"/>
          <w:kern w:val="0"/>
          <w:szCs w:val="22"/>
        </w:rPr>
        <w:t xml:space="preserve">A budget managed on the individual’s behalf by a third party, and </w:t>
      </w:r>
    </w:p>
    <w:p w14:paraId="6AA72823" w14:textId="68E15DC6" w:rsidR="0074249F" w:rsidRDefault="0074249F" w:rsidP="0074249F">
      <w:pPr>
        <w:numPr>
          <w:ilvl w:val="0"/>
          <w:numId w:val="1"/>
        </w:numPr>
        <w:autoSpaceDE w:val="0"/>
        <w:autoSpaceDN w:val="0"/>
        <w:adjustRightInd w:val="0"/>
        <w:spacing w:line="240" w:lineRule="auto"/>
        <w:ind w:left="284" w:hanging="284"/>
        <w:rPr>
          <w:rFonts w:cs="Arial"/>
          <w:color w:val="000000"/>
          <w:kern w:val="0"/>
          <w:szCs w:val="22"/>
        </w:rPr>
      </w:pPr>
      <w:r w:rsidRPr="00A868F0">
        <w:rPr>
          <w:rFonts w:cs="Arial"/>
          <w:color w:val="000000"/>
          <w:kern w:val="0"/>
          <w:szCs w:val="22"/>
        </w:rPr>
        <w:t xml:space="preserve">A cash </w:t>
      </w:r>
      <w:r w:rsidR="00800AD6">
        <w:rPr>
          <w:rFonts w:cs="Arial"/>
          <w:color w:val="000000"/>
          <w:kern w:val="0"/>
          <w:szCs w:val="22"/>
        </w:rPr>
        <w:t xml:space="preserve">or card </w:t>
      </w:r>
      <w:r w:rsidRPr="00A868F0">
        <w:rPr>
          <w:rFonts w:cs="Arial"/>
          <w:color w:val="000000"/>
          <w:kern w:val="0"/>
          <w:szCs w:val="22"/>
        </w:rPr>
        <w:t>payment directly to the individual (a ‘healthcare direct payment’).</w:t>
      </w:r>
    </w:p>
    <w:p w14:paraId="29BBC01A" w14:textId="77777777" w:rsidR="0074249F" w:rsidRDefault="0074249F" w:rsidP="0074249F">
      <w:pPr>
        <w:autoSpaceDE w:val="0"/>
        <w:autoSpaceDN w:val="0"/>
        <w:adjustRightInd w:val="0"/>
        <w:spacing w:line="240" w:lineRule="auto"/>
        <w:rPr>
          <w:rFonts w:cs="Arial"/>
          <w:color w:val="000000"/>
          <w:kern w:val="0"/>
          <w:szCs w:val="22"/>
        </w:rPr>
      </w:pPr>
    </w:p>
    <w:p w14:paraId="22C562D0" w14:textId="77777777" w:rsidR="00EE7B81" w:rsidRDefault="0074249F" w:rsidP="00EE7B81">
      <w:pPr>
        <w:autoSpaceDE w:val="0"/>
        <w:autoSpaceDN w:val="0"/>
        <w:adjustRightInd w:val="0"/>
        <w:spacing w:line="240" w:lineRule="auto"/>
        <w:rPr>
          <w:rFonts w:cs="Arial"/>
          <w:color w:val="000000"/>
          <w:kern w:val="0"/>
          <w:szCs w:val="22"/>
        </w:rPr>
      </w:pPr>
      <w:r w:rsidRPr="0074249F">
        <w:rPr>
          <w:rFonts w:cs="Arial"/>
          <w:color w:val="000000"/>
          <w:kern w:val="0"/>
          <w:szCs w:val="22"/>
        </w:rPr>
        <w:t>N</w:t>
      </w:r>
      <w:r>
        <w:rPr>
          <w:rFonts w:cs="Arial"/>
          <w:color w:val="000000"/>
          <w:kern w:val="0"/>
          <w:szCs w:val="22"/>
        </w:rPr>
        <w:t xml:space="preserve">orth </w:t>
      </w:r>
      <w:r w:rsidRPr="0074249F">
        <w:rPr>
          <w:rFonts w:cs="Arial"/>
          <w:color w:val="000000"/>
          <w:kern w:val="0"/>
          <w:szCs w:val="22"/>
        </w:rPr>
        <w:t>E</w:t>
      </w:r>
      <w:r>
        <w:rPr>
          <w:rFonts w:cs="Arial"/>
          <w:color w:val="000000"/>
          <w:kern w:val="0"/>
          <w:szCs w:val="22"/>
        </w:rPr>
        <w:t xml:space="preserve">ast </w:t>
      </w:r>
      <w:r w:rsidRPr="0074249F">
        <w:rPr>
          <w:rFonts w:cs="Arial"/>
          <w:color w:val="000000"/>
          <w:kern w:val="0"/>
          <w:szCs w:val="22"/>
        </w:rPr>
        <w:t>L</w:t>
      </w:r>
      <w:r>
        <w:rPr>
          <w:rFonts w:cs="Arial"/>
          <w:color w:val="000000"/>
          <w:kern w:val="0"/>
          <w:szCs w:val="22"/>
        </w:rPr>
        <w:t>incolnshire</w:t>
      </w:r>
      <w:r w:rsidRPr="0074249F">
        <w:rPr>
          <w:rFonts w:cs="Arial"/>
          <w:color w:val="000000"/>
          <w:kern w:val="0"/>
          <w:szCs w:val="22"/>
        </w:rPr>
        <w:t xml:space="preserve"> CCG Practice Guide: Personal Health Budgets in NHS Continuing Healthcare provides comprehensive </w:t>
      </w:r>
      <w:r w:rsidR="002F746F">
        <w:rPr>
          <w:rFonts w:cs="Arial"/>
          <w:color w:val="000000"/>
          <w:kern w:val="0"/>
          <w:szCs w:val="22"/>
        </w:rPr>
        <w:t>details regarding this process and can be accessed by following the link below.</w:t>
      </w:r>
    </w:p>
    <w:p w14:paraId="096C9657" w14:textId="77777777" w:rsidR="001F0858" w:rsidRDefault="001F0858" w:rsidP="00EE7B81">
      <w:pPr>
        <w:autoSpaceDE w:val="0"/>
        <w:autoSpaceDN w:val="0"/>
        <w:adjustRightInd w:val="0"/>
        <w:spacing w:line="240" w:lineRule="auto"/>
        <w:rPr>
          <w:rFonts w:cs="Arial"/>
          <w:color w:val="000000"/>
          <w:kern w:val="0"/>
          <w:szCs w:val="22"/>
        </w:rPr>
      </w:pPr>
    </w:p>
    <w:p w14:paraId="25D033BD" w14:textId="77777777" w:rsidR="002F746F" w:rsidRPr="00800AD6" w:rsidRDefault="004641F0" w:rsidP="00EE7B81">
      <w:pPr>
        <w:autoSpaceDE w:val="0"/>
        <w:autoSpaceDN w:val="0"/>
        <w:adjustRightInd w:val="0"/>
        <w:spacing w:line="240" w:lineRule="auto"/>
        <w:rPr>
          <w:rFonts w:cs="Arial"/>
          <w:color w:val="2F5496" w:themeColor="accent5" w:themeShade="BF"/>
          <w:kern w:val="0"/>
          <w:szCs w:val="22"/>
        </w:rPr>
      </w:pPr>
      <w:hyperlink r:id="rId16" w:history="1">
        <w:r w:rsidR="00042315" w:rsidRPr="00800AD6">
          <w:rPr>
            <w:rStyle w:val="Hyperlink"/>
            <w:rFonts w:cs="Arial"/>
            <w:color w:val="2F5496" w:themeColor="accent5" w:themeShade="BF"/>
            <w:kern w:val="0"/>
            <w:szCs w:val="22"/>
          </w:rPr>
          <w:t>NELCCG Operational Policy for Personal Health Care Budgets</w:t>
        </w:r>
      </w:hyperlink>
    </w:p>
    <w:p w14:paraId="3F5DB2FA" w14:textId="77777777" w:rsidR="00042315" w:rsidRDefault="00042315" w:rsidP="00EE7B81">
      <w:pPr>
        <w:autoSpaceDE w:val="0"/>
        <w:autoSpaceDN w:val="0"/>
        <w:adjustRightInd w:val="0"/>
        <w:spacing w:line="240" w:lineRule="auto"/>
        <w:rPr>
          <w:rFonts w:cs="Arial"/>
          <w:color w:val="000000"/>
          <w:kern w:val="0"/>
          <w:szCs w:val="22"/>
        </w:rPr>
      </w:pPr>
    </w:p>
    <w:p w14:paraId="08A7E815" w14:textId="77777777" w:rsidR="00EE7B81" w:rsidRDefault="00EE7B81" w:rsidP="0004514C">
      <w:pPr>
        <w:pStyle w:val="Heading1"/>
        <w:ind w:left="397" w:hanging="397"/>
        <w:jc w:val="left"/>
      </w:pPr>
      <w:bookmarkStart w:id="19" w:name="_Toc26869248"/>
      <w:r>
        <w:t>21</w:t>
      </w:r>
      <w:r w:rsidRPr="00A868F0">
        <w:t xml:space="preserve">. </w:t>
      </w:r>
      <w:r>
        <w:t>TRANSITION FROM CHILDREN</w:t>
      </w:r>
      <w:r w:rsidR="004A729B">
        <w:t xml:space="preserve">’S SERVICES TO ADULT CONTINUING </w:t>
      </w:r>
      <w:r>
        <w:t>HEALTH</w:t>
      </w:r>
      <w:r w:rsidR="0004514C">
        <w:t xml:space="preserve"> </w:t>
      </w:r>
      <w:r>
        <w:t>CARE</w:t>
      </w:r>
      <w:r w:rsidR="004A729B">
        <w:t xml:space="preserve"> </w:t>
      </w:r>
      <w:r>
        <w:t>SERVICES</w:t>
      </w:r>
      <w:bookmarkEnd w:id="19"/>
    </w:p>
    <w:p w14:paraId="2C7F1724" w14:textId="77777777" w:rsidR="00EE7B81" w:rsidRPr="00A868F0" w:rsidRDefault="00EE7B81" w:rsidP="00EE7B81">
      <w:pPr>
        <w:autoSpaceDE w:val="0"/>
        <w:autoSpaceDN w:val="0"/>
        <w:adjustRightInd w:val="0"/>
        <w:spacing w:line="240" w:lineRule="auto"/>
      </w:pPr>
      <w:r w:rsidRPr="00A868F0">
        <w:t xml:space="preserve"> </w:t>
      </w:r>
    </w:p>
    <w:p w14:paraId="22A78BAF" w14:textId="77777777" w:rsidR="00EE7B81" w:rsidRPr="00A868F0" w:rsidRDefault="00EE7B81" w:rsidP="00EE7B81">
      <w:pPr>
        <w:autoSpaceDE w:val="0"/>
        <w:autoSpaceDN w:val="0"/>
        <w:adjustRightInd w:val="0"/>
        <w:spacing w:line="240" w:lineRule="auto"/>
        <w:rPr>
          <w:rFonts w:cs="Arial"/>
          <w:color w:val="000000"/>
          <w:kern w:val="0"/>
          <w:szCs w:val="22"/>
        </w:rPr>
      </w:pPr>
      <w:r w:rsidRPr="00A868F0">
        <w:rPr>
          <w:rFonts w:cs="Arial"/>
          <w:color w:val="000000"/>
          <w:kern w:val="0"/>
          <w:szCs w:val="22"/>
        </w:rPr>
        <w:t>The National Framework for NHS Continuing Health</w:t>
      </w:r>
      <w:r w:rsidR="00DF4D16">
        <w:rPr>
          <w:rFonts w:cs="Arial"/>
          <w:color w:val="000000"/>
          <w:kern w:val="0"/>
          <w:szCs w:val="22"/>
        </w:rPr>
        <w:t>care &amp; funded-nursing care (2018</w:t>
      </w:r>
      <w:r w:rsidRPr="00A868F0">
        <w:rPr>
          <w:rFonts w:cs="Arial"/>
          <w:color w:val="000000"/>
          <w:kern w:val="0"/>
          <w:szCs w:val="22"/>
        </w:rPr>
        <w:t xml:space="preserve">, Department of Health) and the supporting guidance and Tools only applies to people aged 18 years or over. It is important that both the Adult and the Children’s Frameworks consider transition. </w:t>
      </w:r>
    </w:p>
    <w:p w14:paraId="10A6769E" w14:textId="77777777" w:rsidR="00EE7B81" w:rsidRPr="00A868F0" w:rsidRDefault="00EE7B81" w:rsidP="00EE7B81">
      <w:pPr>
        <w:autoSpaceDE w:val="0"/>
        <w:autoSpaceDN w:val="0"/>
        <w:adjustRightInd w:val="0"/>
        <w:spacing w:line="240" w:lineRule="auto"/>
        <w:rPr>
          <w:rFonts w:cs="Arial"/>
          <w:color w:val="000000"/>
          <w:kern w:val="0"/>
          <w:szCs w:val="22"/>
        </w:rPr>
      </w:pPr>
    </w:p>
    <w:p w14:paraId="5D214E28" w14:textId="77777777" w:rsidR="00EE7B81" w:rsidRPr="00A868F0" w:rsidRDefault="00EE7B81" w:rsidP="00EE7B81">
      <w:pPr>
        <w:numPr>
          <w:ilvl w:val="0"/>
          <w:numId w:val="1"/>
        </w:numPr>
        <w:autoSpaceDE w:val="0"/>
        <w:autoSpaceDN w:val="0"/>
        <w:adjustRightInd w:val="0"/>
        <w:spacing w:line="240" w:lineRule="auto"/>
        <w:ind w:left="284" w:hanging="284"/>
        <w:rPr>
          <w:rFonts w:cs="Arial"/>
          <w:color w:val="000000"/>
          <w:kern w:val="0"/>
          <w:szCs w:val="22"/>
        </w:rPr>
      </w:pPr>
      <w:r w:rsidRPr="00A868F0">
        <w:rPr>
          <w:rFonts w:cs="Arial"/>
          <w:color w:val="000000"/>
          <w:kern w:val="0"/>
          <w:szCs w:val="22"/>
        </w:rPr>
        <w:t xml:space="preserve">Participate in and engage where appropriate, in timely discussions with relevant Adult and Children’s Services managers regarding all proposed placements / support packages funded by Children’s Services that may require Adult Services funding post 18 (for example residential school placements) prior to any formal agreements being made  </w:t>
      </w:r>
    </w:p>
    <w:p w14:paraId="61C04EAA" w14:textId="77777777" w:rsidR="00EE7B81" w:rsidRPr="00A868F0" w:rsidRDefault="00EE7B81" w:rsidP="00EE7B81">
      <w:pPr>
        <w:autoSpaceDE w:val="0"/>
        <w:autoSpaceDN w:val="0"/>
        <w:adjustRightInd w:val="0"/>
        <w:spacing w:line="240" w:lineRule="auto"/>
        <w:ind w:left="284"/>
        <w:rPr>
          <w:rFonts w:cs="Arial"/>
          <w:color w:val="000000"/>
          <w:kern w:val="0"/>
          <w:szCs w:val="22"/>
        </w:rPr>
      </w:pPr>
    </w:p>
    <w:p w14:paraId="2996AC72" w14:textId="77777777" w:rsidR="00EE7B81" w:rsidRPr="00A868F0" w:rsidRDefault="00EE7B81" w:rsidP="00EE7B81">
      <w:pPr>
        <w:numPr>
          <w:ilvl w:val="0"/>
          <w:numId w:val="1"/>
        </w:numPr>
        <w:autoSpaceDE w:val="0"/>
        <w:autoSpaceDN w:val="0"/>
        <w:adjustRightInd w:val="0"/>
        <w:spacing w:line="240" w:lineRule="auto"/>
        <w:ind w:left="284" w:hanging="284"/>
        <w:rPr>
          <w:rFonts w:cs="Arial"/>
          <w:color w:val="000000"/>
          <w:kern w:val="0"/>
          <w:szCs w:val="22"/>
        </w:rPr>
      </w:pPr>
      <w:r w:rsidRPr="00A868F0">
        <w:rPr>
          <w:rFonts w:cs="Arial"/>
          <w:color w:val="000000"/>
          <w:kern w:val="0"/>
          <w:szCs w:val="22"/>
        </w:rPr>
        <w:t xml:space="preserve">Liaise where appropriate, with relevant Adult Services to assist them to ensure that all necessary planning and financial negotiations are completed in good time, enabling the transition from Child to Adult Services to be as seamless as possible for all concerned. </w:t>
      </w:r>
    </w:p>
    <w:p w14:paraId="14625F58" w14:textId="77777777" w:rsidR="00EE7B81" w:rsidRPr="00A868F0" w:rsidRDefault="00EE7B81" w:rsidP="00EE7B81">
      <w:pPr>
        <w:autoSpaceDE w:val="0"/>
        <w:autoSpaceDN w:val="0"/>
        <w:adjustRightInd w:val="0"/>
        <w:ind w:right="425"/>
        <w:rPr>
          <w:rFonts w:cs="Arial"/>
          <w:color w:val="000000"/>
          <w:kern w:val="0"/>
          <w:szCs w:val="22"/>
        </w:rPr>
      </w:pPr>
    </w:p>
    <w:p w14:paraId="1CF062DA" w14:textId="77777777" w:rsidR="00EE7B81" w:rsidRPr="00A868F0" w:rsidRDefault="00EE7B81" w:rsidP="00EE7B81">
      <w:pPr>
        <w:autoSpaceDE w:val="0"/>
        <w:autoSpaceDN w:val="0"/>
        <w:adjustRightInd w:val="0"/>
        <w:spacing w:line="240" w:lineRule="auto"/>
        <w:rPr>
          <w:rFonts w:cs="Arial"/>
          <w:color w:val="000000"/>
          <w:kern w:val="0"/>
          <w:szCs w:val="22"/>
        </w:rPr>
      </w:pPr>
      <w:r w:rsidRPr="00A868F0">
        <w:rPr>
          <w:rFonts w:cs="Arial"/>
          <w:color w:val="000000"/>
          <w:kern w:val="0"/>
          <w:szCs w:val="22"/>
        </w:rPr>
        <w:t>N</w:t>
      </w:r>
      <w:r w:rsidR="00121763">
        <w:rPr>
          <w:rFonts w:cs="Arial"/>
          <w:color w:val="000000"/>
          <w:kern w:val="0"/>
          <w:szCs w:val="22"/>
        </w:rPr>
        <w:t xml:space="preserve">orth </w:t>
      </w:r>
      <w:r w:rsidRPr="00A868F0">
        <w:rPr>
          <w:rFonts w:cs="Arial"/>
          <w:color w:val="000000"/>
          <w:kern w:val="0"/>
          <w:szCs w:val="22"/>
        </w:rPr>
        <w:t>E</w:t>
      </w:r>
      <w:r w:rsidR="00121763">
        <w:rPr>
          <w:rFonts w:cs="Arial"/>
          <w:color w:val="000000"/>
          <w:kern w:val="0"/>
          <w:szCs w:val="22"/>
        </w:rPr>
        <w:t xml:space="preserve">ast </w:t>
      </w:r>
      <w:r w:rsidRPr="00A868F0">
        <w:rPr>
          <w:rFonts w:cs="Arial"/>
          <w:color w:val="000000"/>
          <w:kern w:val="0"/>
          <w:szCs w:val="22"/>
        </w:rPr>
        <w:t>L</w:t>
      </w:r>
      <w:r w:rsidR="00121763">
        <w:rPr>
          <w:rFonts w:cs="Arial"/>
          <w:color w:val="000000"/>
          <w:kern w:val="0"/>
          <w:szCs w:val="22"/>
        </w:rPr>
        <w:t>incolnshire</w:t>
      </w:r>
      <w:r w:rsidRPr="00A868F0">
        <w:rPr>
          <w:rFonts w:cs="Arial"/>
          <w:color w:val="000000"/>
          <w:kern w:val="0"/>
          <w:szCs w:val="22"/>
        </w:rPr>
        <w:t xml:space="preserve"> Clinical Commissioning Group will ensure that it is actively involved in the strategic development and oversight of the local transition planning processes with their partners, and that their representation includes those who understand and represent adult NHS Continuing Healthcare. N</w:t>
      </w:r>
      <w:r w:rsidR="00121763">
        <w:rPr>
          <w:rFonts w:cs="Arial"/>
          <w:color w:val="000000"/>
          <w:kern w:val="0"/>
          <w:szCs w:val="22"/>
        </w:rPr>
        <w:t xml:space="preserve">orth </w:t>
      </w:r>
      <w:r w:rsidRPr="00A868F0">
        <w:rPr>
          <w:rFonts w:cs="Arial"/>
          <w:color w:val="000000"/>
          <w:kern w:val="0"/>
          <w:szCs w:val="22"/>
        </w:rPr>
        <w:t>E</w:t>
      </w:r>
      <w:r w:rsidR="00121763">
        <w:rPr>
          <w:rFonts w:cs="Arial"/>
          <w:color w:val="000000"/>
          <w:kern w:val="0"/>
          <w:szCs w:val="22"/>
        </w:rPr>
        <w:t xml:space="preserve">ast </w:t>
      </w:r>
      <w:r w:rsidRPr="00A868F0">
        <w:rPr>
          <w:rFonts w:cs="Arial"/>
          <w:color w:val="000000"/>
          <w:kern w:val="0"/>
          <w:szCs w:val="22"/>
        </w:rPr>
        <w:t>L</w:t>
      </w:r>
      <w:r w:rsidR="00121763">
        <w:rPr>
          <w:rFonts w:cs="Arial"/>
          <w:color w:val="000000"/>
          <w:kern w:val="0"/>
          <w:szCs w:val="22"/>
        </w:rPr>
        <w:t>incolnshire</w:t>
      </w:r>
      <w:r w:rsidRPr="00A868F0">
        <w:rPr>
          <w:rFonts w:cs="Arial"/>
          <w:color w:val="000000"/>
          <w:kern w:val="0"/>
          <w:szCs w:val="22"/>
        </w:rPr>
        <w:t xml:space="preserve"> Clinical Commissioning Group will ensure that adult NHS Continuing Healthcare is appropriately represented in all transition planning meetings regarding individual young people whenever the individual’s need suggest that there may be potential eligibility. </w:t>
      </w:r>
    </w:p>
    <w:p w14:paraId="4D0CFB4B" w14:textId="77777777" w:rsidR="00EE7B81" w:rsidRPr="00EE7B81" w:rsidRDefault="00EE7B81" w:rsidP="00EE7B81">
      <w:pPr>
        <w:autoSpaceDE w:val="0"/>
        <w:autoSpaceDN w:val="0"/>
        <w:adjustRightInd w:val="0"/>
        <w:spacing w:line="240" w:lineRule="auto"/>
        <w:rPr>
          <w:rFonts w:cs="Arial"/>
          <w:color w:val="000000"/>
          <w:kern w:val="0"/>
          <w:szCs w:val="22"/>
        </w:rPr>
      </w:pPr>
      <w:r w:rsidRPr="00EE7B81">
        <w:rPr>
          <w:rFonts w:cs="Arial"/>
          <w:color w:val="000000"/>
          <w:kern w:val="0"/>
          <w:szCs w:val="22"/>
        </w:rPr>
        <w:lastRenderedPageBreak/>
        <w:t>N</w:t>
      </w:r>
      <w:r w:rsidR="00121763">
        <w:rPr>
          <w:rFonts w:cs="Arial"/>
          <w:color w:val="000000"/>
          <w:kern w:val="0"/>
          <w:szCs w:val="22"/>
        </w:rPr>
        <w:t xml:space="preserve">orth </w:t>
      </w:r>
      <w:r w:rsidRPr="00EE7B81">
        <w:rPr>
          <w:rFonts w:cs="Arial"/>
          <w:color w:val="000000"/>
          <w:kern w:val="0"/>
          <w:szCs w:val="22"/>
        </w:rPr>
        <w:t>E</w:t>
      </w:r>
      <w:r w:rsidR="00121763">
        <w:rPr>
          <w:rFonts w:cs="Arial"/>
          <w:color w:val="000000"/>
          <w:kern w:val="0"/>
          <w:szCs w:val="22"/>
        </w:rPr>
        <w:t xml:space="preserve">ast </w:t>
      </w:r>
      <w:r w:rsidRPr="00EE7B81">
        <w:rPr>
          <w:rFonts w:cs="Arial"/>
          <w:color w:val="000000"/>
          <w:kern w:val="0"/>
          <w:szCs w:val="22"/>
        </w:rPr>
        <w:t>L</w:t>
      </w:r>
      <w:r w:rsidR="00121763">
        <w:rPr>
          <w:rFonts w:cs="Arial"/>
          <w:color w:val="000000"/>
          <w:kern w:val="0"/>
          <w:szCs w:val="22"/>
        </w:rPr>
        <w:t>incolnshire</w:t>
      </w:r>
      <w:r w:rsidRPr="00EE7B81">
        <w:rPr>
          <w:rFonts w:cs="Arial"/>
          <w:color w:val="000000"/>
          <w:kern w:val="0"/>
          <w:szCs w:val="22"/>
        </w:rPr>
        <w:t xml:space="preserve"> Clinical Commissioning Group recognise as best practice that future entitlement to adult NHS Continuing Healthcare should be clarified at as early a stage as possible in the transition planning process, especially when the young person’s needs are likely to remain at a similar level until adulthood. Professionals responsible for children’s transition into adult services should identify those young people for whom it is likely that NHS Continuing Healthcare will be necessary, and should notify N</w:t>
      </w:r>
      <w:r w:rsidR="00121763">
        <w:rPr>
          <w:rFonts w:cs="Arial"/>
          <w:color w:val="000000"/>
          <w:kern w:val="0"/>
          <w:szCs w:val="22"/>
        </w:rPr>
        <w:t xml:space="preserve">orth </w:t>
      </w:r>
      <w:r w:rsidRPr="00EE7B81">
        <w:rPr>
          <w:rFonts w:cs="Arial"/>
          <w:color w:val="000000"/>
          <w:kern w:val="0"/>
          <w:szCs w:val="22"/>
        </w:rPr>
        <w:t>E</w:t>
      </w:r>
      <w:r w:rsidR="00121763">
        <w:rPr>
          <w:rFonts w:cs="Arial"/>
          <w:color w:val="000000"/>
          <w:kern w:val="0"/>
          <w:szCs w:val="22"/>
        </w:rPr>
        <w:t xml:space="preserve">ast </w:t>
      </w:r>
      <w:r w:rsidRPr="00EE7B81">
        <w:rPr>
          <w:rFonts w:cs="Arial"/>
          <w:color w:val="000000"/>
          <w:kern w:val="0"/>
          <w:szCs w:val="22"/>
        </w:rPr>
        <w:t>L</w:t>
      </w:r>
      <w:r w:rsidR="00121763">
        <w:rPr>
          <w:rFonts w:cs="Arial"/>
          <w:color w:val="000000"/>
          <w:kern w:val="0"/>
          <w:szCs w:val="22"/>
        </w:rPr>
        <w:t>incolnshire</w:t>
      </w:r>
      <w:r w:rsidRPr="00EE7B81">
        <w:rPr>
          <w:rFonts w:cs="Arial"/>
          <w:color w:val="000000"/>
          <w:kern w:val="0"/>
          <w:szCs w:val="22"/>
        </w:rPr>
        <w:t xml:space="preserve"> Clinical Commissioning Group CHC Team, who may have responsibility for them as adults. This should occur when a young person reaches the age of 14. This should be followed up by a formal referral in order that a Checklist can be completed at age 16.</w:t>
      </w:r>
    </w:p>
    <w:p w14:paraId="06114BA2" w14:textId="77777777" w:rsidR="00EE7B81" w:rsidRPr="00EE7B81" w:rsidRDefault="00EE7B81" w:rsidP="00EE7B81">
      <w:pPr>
        <w:autoSpaceDE w:val="0"/>
        <w:autoSpaceDN w:val="0"/>
        <w:adjustRightInd w:val="0"/>
        <w:spacing w:line="240" w:lineRule="auto"/>
        <w:rPr>
          <w:rFonts w:cs="Arial"/>
          <w:color w:val="000000"/>
          <w:kern w:val="0"/>
          <w:szCs w:val="22"/>
        </w:rPr>
      </w:pPr>
    </w:p>
    <w:p w14:paraId="608F4218" w14:textId="77777777" w:rsidR="00EE7B81" w:rsidRPr="00A868F0" w:rsidRDefault="007128F2" w:rsidP="004B2355">
      <w:pPr>
        <w:pStyle w:val="Heading1"/>
        <w:ind w:left="397" w:hanging="397"/>
        <w:jc w:val="left"/>
      </w:pPr>
      <w:bookmarkStart w:id="20" w:name="_Toc26869249"/>
      <w:r>
        <w:t>22</w:t>
      </w:r>
      <w:r w:rsidR="00EE7B81" w:rsidRPr="00A868F0">
        <w:t xml:space="preserve">. </w:t>
      </w:r>
      <w:r>
        <w:t>JOINT COMMISSIONING FOR SPECIAL E</w:t>
      </w:r>
      <w:r w:rsidR="004A729B">
        <w:t>DUCATIONAL NEEDS AND DISABILITY</w:t>
      </w:r>
      <w:r w:rsidR="004B2355">
        <w:t xml:space="preserve"> </w:t>
      </w:r>
      <w:r w:rsidR="00EE7B81" w:rsidRPr="007128F2">
        <w:t>(SEND)</w:t>
      </w:r>
      <w:bookmarkEnd w:id="20"/>
      <w:r w:rsidR="00EE7B81" w:rsidRPr="00A868F0">
        <w:t xml:space="preserve"> </w:t>
      </w:r>
    </w:p>
    <w:p w14:paraId="72E76E0E" w14:textId="77777777" w:rsidR="007128F2" w:rsidRDefault="007128F2" w:rsidP="007128F2">
      <w:pPr>
        <w:autoSpaceDE w:val="0"/>
        <w:autoSpaceDN w:val="0"/>
        <w:adjustRightInd w:val="0"/>
        <w:spacing w:line="240" w:lineRule="auto"/>
        <w:rPr>
          <w:rFonts w:cs="Arial"/>
          <w:color w:val="000000"/>
          <w:kern w:val="0"/>
          <w:szCs w:val="22"/>
        </w:rPr>
      </w:pPr>
    </w:p>
    <w:p w14:paraId="3375F909" w14:textId="77777777" w:rsidR="00EE7B81" w:rsidRPr="00A868F0" w:rsidRDefault="00EE7B81" w:rsidP="007128F2">
      <w:pPr>
        <w:autoSpaceDE w:val="0"/>
        <w:autoSpaceDN w:val="0"/>
        <w:adjustRightInd w:val="0"/>
        <w:spacing w:line="240" w:lineRule="auto"/>
        <w:rPr>
          <w:rFonts w:cs="Arial"/>
          <w:color w:val="000000"/>
          <w:kern w:val="0"/>
          <w:szCs w:val="22"/>
        </w:rPr>
      </w:pPr>
      <w:r w:rsidRPr="00A868F0">
        <w:rPr>
          <w:rFonts w:cs="Arial"/>
          <w:color w:val="000000"/>
          <w:kern w:val="0"/>
          <w:szCs w:val="22"/>
        </w:rPr>
        <w:t xml:space="preserve">Since September 1 2014, under section 26 of the Children and Families Act 2014, a new framework for children and young people </w:t>
      </w:r>
      <w:r w:rsidRPr="007128F2">
        <w:rPr>
          <w:rFonts w:cs="Arial"/>
          <w:color w:val="000000"/>
          <w:kern w:val="0"/>
          <w:szCs w:val="22"/>
        </w:rPr>
        <w:t xml:space="preserve">(up to age 25) </w:t>
      </w:r>
      <w:r w:rsidRPr="00A868F0">
        <w:rPr>
          <w:rFonts w:cs="Arial"/>
          <w:color w:val="000000"/>
          <w:kern w:val="0"/>
          <w:szCs w:val="22"/>
        </w:rPr>
        <w:t xml:space="preserve">with SEND will apply in England. All new entrants to the system will be supported via these arrangements, and children and young people with existing statements of special educational needs will transfer to the new arrangements over a three year period. At the heart of the arrangements is an integrated Education, Health and Care plan (EHC plan). </w:t>
      </w:r>
    </w:p>
    <w:p w14:paraId="4FDFA21D" w14:textId="77777777" w:rsidR="00EE7B81" w:rsidRPr="00A868F0" w:rsidRDefault="00EE7B81" w:rsidP="007128F2">
      <w:pPr>
        <w:autoSpaceDE w:val="0"/>
        <w:autoSpaceDN w:val="0"/>
        <w:adjustRightInd w:val="0"/>
        <w:spacing w:line="240" w:lineRule="auto"/>
        <w:rPr>
          <w:rFonts w:cs="Arial"/>
          <w:color w:val="000000"/>
          <w:kern w:val="0"/>
          <w:szCs w:val="22"/>
        </w:rPr>
      </w:pPr>
    </w:p>
    <w:p w14:paraId="515B1630" w14:textId="77777777" w:rsidR="00EE7B81" w:rsidRDefault="00EE7B81" w:rsidP="00B52074">
      <w:pPr>
        <w:autoSpaceDE w:val="0"/>
        <w:autoSpaceDN w:val="0"/>
        <w:adjustRightInd w:val="0"/>
        <w:spacing w:line="240" w:lineRule="auto"/>
        <w:rPr>
          <w:rFonts w:cs="Arial"/>
          <w:color w:val="000000"/>
          <w:kern w:val="0"/>
          <w:szCs w:val="22"/>
        </w:rPr>
      </w:pPr>
      <w:r w:rsidRPr="00A868F0">
        <w:rPr>
          <w:rFonts w:cs="Arial"/>
          <w:color w:val="000000"/>
          <w:kern w:val="0"/>
          <w:szCs w:val="22"/>
        </w:rPr>
        <w:t>NEL CCG has worked with NEL Local Authority, to develop a Local pathway, in regard to the range of education, health and social care services available for children and young people in their area who have SEN or are disabled, including those who do not have EHC plans, and how they can be accessed. This includes details of continuing care services and how</w:t>
      </w:r>
      <w:r w:rsidR="00B52074">
        <w:rPr>
          <w:rFonts w:cs="Arial"/>
          <w:color w:val="000000"/>
          <w:kern w:val="0"/>
          <w:szCs w:val="22"/>
        </w:rPr>
        <w:t xml:space="preserve"> one accesses continuing care. </w:t>
      </w:r>
    </w:p>
    <w:p w14:paraId="2E6F1F9B" w14:textId="77777777" w:rsidR="00B52074" w:rsidRPr="00A868F0" w:rsidRDefault="00B52074" w:rsidP="00B52074">
      <w:pPr>
        <w:autoSpaceDE w:val="0"/>
        <w:autoSpaceDN w:val="0"/>
        <w:adjustRightInd w:val="0"/>
        <w:spacing w:line="240" w:lineRule="auto"/>
        <w:rPr>
          <w:rFonts w:cs="Arial"/>
          <w:color w:val="000000"/>
          <w:kern w:val="0"/>
          <w:szCs w:val="22"/>
        </w:rPr>
      </w:pPr>
    </w:p>
    <w:p w14:paraId="781C53EC" w14:textId="77777777" w:rsidR="00EE7B81" w:rsidRPr="00A868F0" w:rsidRDefault="00EE7B81" w:rsidP="007128F2">
      <w:pPr>
        <w:autoSpaceDE w:val="0"/>
        <w:autoSpaceDN w:val="0"/>
        <w:adjustRightInd w:val="0"/>
        <w:spacing w:line="240" w:lineRule="auto"/>
        <w:rPr>
          <w:rFonts w:cs="Arial"/>
          <w:color w:val="000000"/>
          <w:kern w:val="0"/>
          <w:szCs w:val="22"/>
        </w:rPr>
      </w:pPr>
      <w:r w:rsidRPr="00A868F0">
        <w:rPr>
          <w:rFonts w:cs="Arial"/>
          <w:color w:val="000000"/>
          <w:kern w:val="0"/>
          <w:szCs w:val="22"/>
        </w:rPr>
        <w:t xml:space="preserve">A child or young person with a continuing care need will often also have SEND. Where this is the case, the child or young person’s continuing care needs, and package of care should at the very least feature as part of the integrated package of care in their EHC plan. There are many children and young people with special educational needs or disability without a continuing care need, and their health needs should of course be reflected in the EHC plan. The EHC plan process has at its heart a co-ordinated assessment of a child or young person’s needs, based on multi-professional input, and focused on the outcomes which make the most difference to the child or young person and their family. The views and aspirations of the child or young person, and of their family, are central to developing a holistic view of the child’s needs. </w:t>
      </w:r>
    </w:p>
    <w:p w14:paraId="71CC8409" w14:textId="77777777" w:rsidR="00EE7B81" w:rsidRPr="00A868F0" w:rsidRDefault="00EE7B81" w:rsidP="007128F2">
      <w:pPr>
        <w:autoSpaceDE w:val="0"/>
        <w:autoSpaceDN w:val="0"/>
        <w:adjustRightInd w:val="0"/>
        <w:spacing w:line="240" w:lineRule="auto"/>
        <w:rPr>
          <w:rFonts w:cs="Arial"/>
          <w:color w:val="000000"/>
          <w:kern w:val="0"/>
          <w:szCs w:val="22"/>
        </w:rPr>
      </w:pPr>
    </w:p>
    <w:p w14:paraId="4DF23E7C" w14:textId="4F5ED0A4" w:rsidR="00EE7B81" w:rsidRPr="00A868F0" w:rsidRDefault="00EE7B81" w:rsidP="007128F2">
      <w:pPr>
        <w:autoSpaceDE w:val="0"/>
        <w:autoSpaceDN w:val="0"/>
        <w:adjustRightInd w:val="0"/>
        <w:spacing w:line="240" w:lineRule="auto"/>
        <w:rPr>
          <w:rFonts w:cs="Arial"/>
          <w:color w:val="000000"/>
          <w:kern w:val="0"/>
          <w:szCs w:val="22"/>
        </w:rPr>
      </w:pPr>
      <w:r w:rsidRPr="00A868F0">
        <w:rPr>
          <w:rFonts w:cs="Arial"/>
          <w:color w:val="000000"/>
          <w:kern w:val="0"/>
          <w:szCs w:val="22"/>
        </w:rPr>
        <w:t>NEL CCG and NEL Local Authority have developed and implemented joint arrangements that include an agreement as to how continuing care fits with the EHC process. All cases which require a health contribution to the plan are considered initially at the CHC decision forum and presented to the</w:t>
      </w:r>
      <w:r w:rsidR="00800AD6">
        <w:rPr>
          <w:rFonts w:cs="Arial"/>
          <w:color w:val="000000"/>
          <w:kern w:val="0"/>
          <w:szCs w:val="22"/>
        </w:rPr>
        <w:t xml:space="preserve"> ICAAP</w:t>
      </w:r>
      <w:r w:rsidRPr="00A868F0">
        <w:rPr>
          <w:rFonts w:cs="Arial"/>
          <w:color w:val="000000"/>
          <w:kern w:val="0"/>
          <w:szCs w:val="22"/>
        </w:rPr>
        <w:t xml:space="preserve"> (multi-agency panel of senior managers and clinicians). </w:t>
      </w:r>
    </w:p>
    <w:p w14:paraId="61540691" w14:textId="77777777" w:rsidR="00EE7B81" w:rsidRPr="00A868F0" w:rsidRDefault="00EE7B81" w:rsidP="007128F2">
      <w:pPr>
        <w:autoSpaceDE w:val="0"/>
        <w:autoSpaceDN w:val="0"/>
        <w:adjustRightInd w:val="0"/>
        <w:spacing w:line="240" w:lineRule="auto"/>
        <w:rPr>
          <w:rFonts w:cs="Arial"/>
          <w:color w:val="000000"/>
          <w:kern w:val="0"/>
          <w:szCs w:val="22"/>
        </w:rPr>
      </w:pPr>
    </w:p>
    <w:p w14:paraId="6F8CDB9D" w14:textId="77777777" w:rsidR="003B2354" w:rsidRDefault="00EE7B81" w:rsidP="003B2354">
      <w:pPr>
        <w:autoSpaceDE w:val="0"/>
        <w:autoSpaceDN w:val="0"/>
        <w:adjustRightInd w:val="0"/>
        <w:spacing w:line="240" w:lineRule="auto"/>
        <w:rPr>
          <w:rFonts w:cs="Arial"/>
          <w:color w:val="000000"/>
          <w:kern w:val="0"/>
          <w:szCs w:val="22"/>
        </w:rPr>
      </w:pPr>
      <w:r w:rsidRPr="007128F2">
        <w:rPr>
          <w:rFonts w:cs="Arial"/>
          <w:color w:val="000000"/>
          <w:kern w:val="0"/>
          <w:szCs w:val="22"/>
        </w:rPr>
        <w:t>As the new SEND arrangements extend up to age 25, there will be young people aged 18-25, who are assessed as having a primary health need under the NHS Continuing Healthcare framework. This means that the NHS is responsible for providing the individual’s assessed health and social care needs – including accommodation, if that is part of the overall need. The local authority may not have any responsibility towards the young person. The local authority would still take the lead in co-ordinating the EHC plan but the services they were ultimately responsible for securing would be negligible</w:t>
      </w:r>
      <w:r w:rsidRPr="00A868F0">
        <w:rPr>
          <w:rFonts w:cs="Arial"/>
          <w:color w:val="000000"/>
          <w:kern w:val="0"/>
          <w:szCs w:val="22"/>
        </w:rPr>
        <w:t>.</w:t>
      </w:r>
    </w:p>
    <w:p w14:paraId="09D2084E" w14:textId="1CADB8DC" w:rsidR="003B2354" w:rsidRDefault="003B2354" w:rsidP="003B2354">
      <w:pPr>
        <w:autoSpaceDE w:val="0"/>
        <w:autoSpaceDN w:val="0"/>
        <w:adjustRightInd w:val="0"/>
        <w:spacing w:line="240" w:lineRule="auto"/>
        <w:rPr>
          <w:rFonts w:cs="Arial"/>
          <w:color w:val="000000"/>
          <w:kern w:val="0"/>
          <w:szCs w:val="22"/>
        </w:rPr>
      </w:pPr>
    </w:p>
    <w:p w14:paraId="4F9986B2" w14:textId="79044583" w:rsidR="00E15FDF" w:rsidRDefault="00E15FDF" w:rsidP="003B2354">
      <w:pPr>
        <w:autoSpaceDE w:val="0"/>
        <w:autoSpaceDN w:val="0"/>
        <w:adjustRightInd w:val="0"/>
        <w:spacing w:line="240" w:lineRule="auto"/>
        <w:rPr>
          <w:rFonts w:cs="Arial"/>
          <w:color w:val="000000"/>
          <w:kern w:val="0"/>
          <w:szCs w:val="22"/>
        </w:rPr>
      </w:pPr>
    </w:p>
    <w:p w14:paraId="33EBA335" w14:textId="77777777" w:rsidR="00E15FDF" w:rsidRDefault="00E15FDF" w:rsidP="003B2354">
      <w:pPr>
        <w:autoSpaceDE w:val="0"/>
        <w:autoSpaceDN w:val="0"/>
        <w:adjustRightInd w:val="0"/>
        <w:spacing w:line="240" w:lineRule="auto"/>
        <w:rPr>
          <w:rFonts w:cs="Arial"/>
          <w:color w:val="000000"/>
          <w:kern w:val="0"/>
          <w:szCs w:val="22"/>
        </w:rPr>
      </w:pPr>
    </w:p>
    <w:p w14:paraId="59954BF6" w14:textId="77777777" w:rsidR="003B2354" w:rsidRDefault="003B2354" w:rsidP="003B2354">
      <w:pPr>
        <w:pStyle w:val="Heading1"/>
      </w:pPr>
      <w:bookmarkStart w:id="21" w:name="_Toc26869250"/>
      <w:r>
        <w:lastRenderedPageBreak/>
        <w:t>23.  TRAINING</w:t>
      </w:r>
      <w:bookmarkEnd w:id="21"/>
    </w:p>
    <w:p w14:paraId="4F8FFBFA" w14:textId="77777777" w:rsidR="003B2354" w:rsidRDefault="003B2354" w:rsidP="003B2354">
      <w:pPr>
        <w:autoSpaceDE w:val="0"/>
        <w:autoSpaceDN w:val="0"/>
        <w:adjustRightInd w:val="0"/>
        <w:spacing w:line="240" w:lineRule="auto"/>
        <w:rPr>
          <w:rFonts w:cs="Arial"/>
          <w:color w:val="000000"/>
          <w:kern w:val="0"/>
          <w:szCs w:val="22"/>
        </w:rPr>
      </w:pPr>
    </w:p>
    <w:p w14:paraId="61C276F7" w14:textId="19E557F4" w:rsidR="003B2354" w:rsidRDefault="00343700" w:rsidP="003B2354">
      <w:pPr>
        <w:autoSpaceDE w:val="0"/>
        <w:autoSpaceDN w:val="0"/>
        <w:adjustRightInd w:val="0"/>
        <w:spacing w:line="240" w:lineRule="auto"/>
        <w:rPr>
          <w:rFonts w:cs="Arial"/>
          <w:color w:val="000000"/>
          <w:kern w:val="0"/>
          <w:szCs w:val="22"/>
        </w:rPr>
      </w:pPr>
      <w:r>
        <w:rPr>
          <w:rFonts w:cs="Arial"/>
          <w:strike/>
          <w:color w:val="000000"/>
          <w:kern w:val="0"/>
          <w:szCs w:val="22"/>
        </w:rPr>
        <w:t>T</w:t>
      </w:r>
      <w:r w:rsidR="003B2354">
        <w:rPr>
          <w:rFonts w:cs="Arial"/>
          <w:color w:val="000000"/>
          <w:kern w:val="0"/>
          <w:szCs w:val="22"/>
        </w:rPr>
        <w:t xml:space="preserve">raining is delivered by the Continuing Healthcare Team </w:t>
      </w:r>
      <w:r>
        <w:rPr>
          <w:rFonts w:cs="Arial"/>
          <w:color w:val="000000"/>
          <w:kern w:val="0"/>
          <w:szCs w:val="22"/>
        </w:rPr>
        <w:t>by a rolling training programme or by</w:t>
      </w:r>
      <w:r w:rsidR="003B2354">
        <w:rPr>
          <w:rFonts w:cs="Arial"/>
          <w:color w:val="000000"/>
          <w:kern w:val="0"/>
          <w:szCs w:val="22"/>
        </w:rPr>
        <w:t xml:space="preserve"> request and in various venues.</w:t>
      </w:r>
    </w:p>
    <w:p w14:paraId="7C5AD711" w14:textId="77777777" w:rsidR="003B2354" w:rsidRDefault="003B2354" w:rsidP="003B2354">
      <w:pPr>
        <w:autoSpaceDE w:val="0"/>
        <w:autoSpaceDN w:val="0"/>
        <w:adjustRightInd w:val="0"/>
        <w:spacing w:line="240" w:lineRule="auto"/>
        <w:rPr>
          <w:rFonts w:cs="Arial"/>
          <w:color w:val="000000"/>
          <w:kern w:val="0"/>
          <w:szCs w:val="22"/>
        </w:rPr>
      </w:pPr>
    </w:p>
    <w:p w14:paraId="43F99240" w14:textId="5494DDAB" w:rsidR="003B2354" w:rsidRDefault="003B2354" w:rsidP="003B2354">
      <w:pPr>
        <w:autoSpaceDE w:val="0"/>
        <w:autoSpaceDN w:val="0"/>
        <w:adjustRightInd w:val="0"/>
        <w:spacing w:line="240" w:lineRule="auto"/>
        <w:rPr>
          <w:rFonts w:cs="Arial"/>
          <w:color w:val="000000"/>
          <w:kern w:val="0"/>
          <w:szCs w:val="22"/>
        </w:rPr>
      </w:pPr>
      <w:r>
        <w:rPr>
          <w:rFonts w:cs="Arial"/>
          <w:color w:val="000000"/>
          <w:kern w:val="0"/>
          <w:szCs w:val="22"/>
        </w:rPr>
        <w:t>All those applying the checklist</w:t>
      </w:r>
      <w:r w:rsidR="00343700">
        <w:rPr>
          <w:rFonts w:cs="Arial"/>
          <w:color w:val="000000"/>
          <w:kern w:val="0"/>
          <w:szCs w:val="22"/>
        </w:rPr>
        <w:t xml:space="preserve">, Fast Track Tool and </w:t>
      </w:r>
      <w:r>
        <w:rPr>
          <w:rFonts w:cs="Arial"/>
          <w:color w:val="000000"/>
          <w:kern w:val="0"/>
          <w:szCs w:val="22"/>
        </w:rPr>
        <w:t>DST must have been trained in the use of these documents</w:t>
      </w:r>
      <w:proofErr w:type="gramStart"/>
      <w:r>
        <w:rPr>
          <w:rFonts w:cs="Arial"/>
          <w:color w:val="000000"/>
          <w:kern w:val="0"/>
          <w:szCs w:val="22"/>
        </w:rPr>
        <w:t xml:space="preserve">.  </w:t>
      </w:r>
      <w:proofErr w:type="gramEnd"/>
      <w:r>
        <w:rPr>
          <w:rFonts w:cs="Arial"/>
          <w:color w:val="000000"/>
          <w:kern w:val="0"/>
          <w:szCs w:val="22"/>
        </w:rPr>
        <w:t>An ESR e-learning module for NHS continuing healthcare is available which all staff can use to gain greater understanding of the process.</w:t>
      </w:r>
    </w:p>
    <w:p w14:paraId="586C6A74" w14:textId="77777777" w:rsidR="003B2354" w:rsidRDefault="003B2354" w:rsidP="003B2354">
      <w:pPr>
        <w:autoSpaceDE w:val="0"/>
        <w:autoSpaceDN w:val="0"/>
        <w:adjustRightInd w:val="0"/>
        <w:spacing w:line="240" w:lineRule="auto"/>
        <w:rPr>
          <w:rFonts w:cs="Arial"/>
          <w:color w:val="000000"/>
          <w:kern w:val="0"/>
          <w:szCs w:val="22"/>
        </w:rPr>
      </w:pPr>
    </w:p>
    <w:p w14:paraId="523CCFBD" w14:textId="77777777" w:rsidR="003B2354" w:rsidRPr="00EF16C8" w:rsidRDefault="003B2354" w:rsidP="00EF16C8">
      <w:pPr>
        <w:pStyle w:val="Heading1"/>
      </w:pPr>
      <w:bookmarkStart w:id="22" w:name="_Toc26869251"/>
      <w:r>
        <w:t>24.  GOVERNANCE</w:t>
      </w:r>
      <w:bookmarkEnd w:id="22"/>
    </w:p>
    <w:p w14:paraId="01FA5936" w14:textId="77777777" w:rsidR="003B2354" w:rsidRDefault="003B2354" w:rsidP="003B2354">
      <w:pPr>
        <w:autoSpaceDE w:val="0"/>
        <w:autoSpaceDN w:val="0"/>
        <w:adjustRightInd w:val="0"/>
        <w:spacing w:line="240" w:lineRule="auto"/>
        <w:rPr>
          <w:rFonts w:cs="Arial"/>
          <w:color w:val="000000"/>
          <w:kern w:val="0"/>
          <w:szCs w:val="22"/>
        </w:rPr>
      </w:pPr>
    </w:p>
    <w:p w14:paraId="7C3D0E08" w14:textId="77777777" w:rsidR="00AF1827" w:rsidRDefault="003B2354" w:rsidP="00EF16C8">
      <w:pPr>
        <w:autoSpaceDE w:val="0"/>
        <w:autoSpaceDN w:val="0"/>
        <w:adjustRightInd w:val="0"/>
        <w:spacing w:line="240" w:lineRule="auto"/>
        <w:rPr>
          <w:rFonts w:cs="Arial"/>
          <w:color w:val="000000"/>
          <w:kern w:val="0"/>
          <w:szCs w:val="22"/>
        </w:rPr>
      </w:pPr>
      <w:r>
        <w:rPr>
          <w:rFonts w:cs="Arial"/>
          <w:color w:val="000000"/>
          <w:kern w:val="0"/>
          <w:szCs w:val="22"/>
        </w:rPr>
        <w:t>Implementation and delivery of the requirements of the National Framework for NHS Continuing Healthcare and NHS funded-nursing care (DH</w:t>
      </w:r>
      <w:r w:rsidR="00EF16C8">
        <w:rPr>
          <w:rFonts w:cs="Arial"/>
          <w:color w:val="000000"/>
          <w:kern w:val="0"/>
          <w:szCs w:val="22"/>
        </w:rPr>
        <w:t xml:space="preserve"> 2007 revised 2009, 2012</w:t>
      </w:r>
      <w:r w:rsidR="00DF4D16">
        <w:rPr>
          <w:rFonts w:cs="Arial"/>
          <w:color w:val="000000"/>
          <w:kern w:val="0"/>
          <w:szCs w:val="22"/>
        </w:rPr>
        <w:t>, 2018</w:t>
      </w:r>
      <w:r w:rsidR="00EF16C8">
        <w:rPr>
          <w:rFonts w:cs="Arial"/>
          <w:color w:val="000000"/>
          <w:kern w:val="0"/>
          <w:szCs w:val="22"/>
        </w:rPr>
        <w:t>) will be monitored through performance reports to the North East Lincolnshire Clinical Commissioning Group’s Director of Quality and Nursing.</w:t>
      </w:r>
    </w:p>
    <w:p w14:paraId="4D50498F" w14:textId="77777777" w:rsidR="00EF16C8" w:rsidRDefault="00EF16C8" w:rsidP="00EF16C8">
      <w:pPr>
        <w:autoSpaceDE w:val="0"/>
        <w:autoSpaceDN w:val="0"/>
        <w:adjustRightInd w:val="0"/>
        <w:spacing w:line="240" w:lineRule="auto"/>
        <w:rPr>
          <w:rFonts w:cs="Arial"/>
          <w:color w:val="000000"/>
          <w:kern w:val="0"/>
          <w:szCs w:val="22"/>
        </w:rPr>
      </w:pPr>
    </w:p>
    <w:p w14:paraId="1C22DF13" w14:textId="77777777" w:rsidR="00EF16C8" w:rsidRDefault="00EF16C8" w:rsidP="00EF16C8">
      <w:pPr>
        <w:autoSpaceDE w:val="0"/>
        <w:autoSpaceDN w:val="0"/>
        <w:adjustRightInd w:val="0"/>
        <w:spacing w:line="240" w:lineRule="auto"/>
        <w:rPr>
          <w:rFonts w:cs="Arial"/>
          <w:color w:val="000000"/>
          <w:kern w:val="0"/>
          <w:szCs w:val="22"/>
        </w:rPr>
      </w:pPr>
      <w:r>
        <w:rPr>
          <w:rFonts w:cs="Arial"/>
          <w:color w:val="000000"/>
          <w:kern w:val="0"/>
          <w:szCs w:val="22"/>
        </w:rPr>
        <w:t>National guidelines on continuing care packages:</w:t>
      </w:r>
    </w:p>
    <w:p w14:paraId="00D49381" w14:textId="77777777" w:rsidR="008268CA" w:rsidRDefault="008268CA" w:rsidP="00EF16C8">
      <w:pPr>
        <w:autoSpaceDE w:val="0"/>
        <w:autoSpaceDN w:val="0"/>
        <w:adjustRightInd w:val="0"/>
        <w:spacing w:line="240" w:lineRule="auto"/>
        <w:rPr>
          <w:rFonts w:cs="Arial"/>
          <w:color w:val="000000"/>
          <w:kern w:val="0"/>
          <w:szCs w:val="22"/>
        </w:rPr>
      </w:pPr>
    </w:p>
    <w:p w14:paraId="762B66CB" w14:textId="77777777" w:rsidR="008268CA" w:rsidRPr="000A4364" w:rsidRDefault="004641F0" w:rsidP="00EF16C8">
      <w:pPr>
        <w:autoSpaceDE w:val="0"/>
        <w:autoSpaceDN w:val="0"/>
        <w:adjustRightInd w:val="0"/>
        <w:spacing w:line="240" w:lineRule="auto"/>
        <w:rPr>
          <w:rFonts w:cs="Arial"/>
          <w:color w:val="2F5496" w:themeColor="accent5" w:themeShade="BF"/>
          <w:kern w:val="0"/>
          <w:szCs w:val="22"/>
        </w:rPr>
      </w:pPr>
      <w:hyperlink r:id="rId17" w:history="1">
        <w:r w:rsidR="00EC428E" w:rsidRPr="000A4364">
          <w:rPr>
            <w:rStyle w:val="Hyperlink"/>
            <w:rFonts w:cs="Arial"/>
            <w:color w:val="2F5496" w:themeColor="accent5" w:themeShade="BF"/>
            <w:kern w:val="0"/>
            <w:szCs w:val="22"/>
          </w:rPr>
          <w:t>https://www.gov.uk/government/publications/national-framework-for-nhs-continuing-healthcare-and-nhs-funded-nursing-care</w:t>
        </w:r>
      </w:hyperlink>
    </w:p>
    <w:p w14:paraId="7A137D05" w14:textId="77777777" w:rsidR="008268CA" w:rsidRPr="000A4364" w:rsidRDefault="008268CA" w:rsidP="00EF16C8">
      <w:pPr>
        <w:autoSpaceDE w:val="0"/>
        <w:autoSpaceDN w:val="0"/>
        <w:adjustRightInd w:val="0"/>
        <w:spacing w:line="240" w:lineRule="auto"/>
        <w:rPr>
          <w:rFonts w:cs="Arial"/>
          <w:color w:val="2F5496" w:themeColor="accent5" w:themeShade="BF"/>
          <w:kern w:val="0"/>
          <w:szCs w:val="22"/>
        </w:rPr>
      </w:pPr>
    </w:p>
    <w:p w14:paraId="58B0172F" w14:textId="77777777" w:rsidR="008268CA" w:rsidRPr="000A4364" w:rsidRDefault="004641F0" w:rsidP="00EF16C8">
      <w:pPr>
        <w:autoSpaceDE w:val="0"/>
        <w:autoSpaceDN w:val="0"/>
        <w:adjustRightInd w:val="0"/>
        <w:spacing w:line="240" w:lineRule="auto"/>
        <w:rPr>
          <w:rFonts w:cs="Arial"/>
          <w:color w:val="2F5496" w:themeColor="accent5" w:themeShade="BF"/>
          <w:kern w:val="0"/>
          <w:szCs w:val="22"/>
        </w:rPr>
      </w:pPr>
      <w:hyperlink r:id="rId18" w:history="1">
        <w:r w:rsidR="008268CA" w:rsidRPr="000A4364">
          <w:rPr>
            <w:rStyle w:val="Hyperlink"/>
            <w:rFonts w:cs="Arial"/>
            <w:color w:val="2F5496" w:themeColor="accent5" w:themeShade="BF"/>
            <w:kern w:val="0"/>
            <w:szCs w:val="22"/>
          </w:rPr>
          <w:t>http://www.networks.nhs.uk/networks/news/nhs-continuing-healthcare-faqs-published</w:t>
        </w:r>
      </w:hyperlink>
    </w:p>
    <w:p w14:paraId="76765557" w14:textId="77777777" w:rsidR="008268CA" w:rsidRDefault="008268CA" w:rsidP="00EF16C8">
      <w:pPr>
        <w:autoSpaceDE w:val="0"/>
        <w:autoSpaceDN w:val="0"/>
        <w:adjustRightInd w:val="0"/>
        <w:spacing w:line="240" w:lineRule="auto"/>
        <w:rPr>
          <w:rFonts w:cs="Arial"/>
          <w:color w:val="000000"/>
          <w:kern w:val="0"/>
          <w:szCs w:val="22"/>
        </w:rPr>
      </w:pPr>
    </w:p>
    <w:p w14:paraId="34B4E0B2" w14:textId="77777777" w:rsidR="00DC34B8" w:rsidRDefault="004A729B" w:rsidP="00DC34B8">
      <w:pPr>
        <w:pStyle w:val="Heading1"/>
      </w:pPr>
      <w:bookmarkStart w:id="23" w:name="_Toc26869252"/>
      <w:r>
        <w:t>25.  SOURCES OF GUIDANCE</w:t>
      </w:r>
      <w:bookmarkEnd w:id="23"/>
    </w:p>
    <w:p w14:paraId="1A1CCA55" w14:textId="77777777" w:rsidR="005D38E0" w:rsidRDefault="00DC34B8" w:rsidP="00DC34B8">
      <w:pPr>
        <w:pStyle w:val="Heading1"/>
      </w:pPr>
      <w:r>
        <w:t xml:space="preserve"> </w:t>
      </w:r>
    </w:p>
    <w:p w14:paraId="5D8AE529" w14:textId="77777777" w:rsidR="00A83867" w:rsidRPr="005D38E0" w:rsidRDefault="00A83867" w:rsidP="00DC34B8">
      <w:pPr>
        <w:numPr>
          <w:ilvl w:val="0"/>
          <w:numId w:val="1"/>
        </w:numPr>
        <w:autoSpaceDE w:val="0"/>
        <w:autoSpaceDN w:val="0"/>
        <w:adjustRightInd w:val="0"/>
        <w:spacing w:line="240" w:lineRule="auto"/>
        <w:ind w:left="284" w:hanging="284"/>
        <w:rPr>
          <w:rFonts w:cs="Arial"/>
          <w:color w:val="000000"/>
          <w:kern w:val="0"/>
          <w:szCs w:val="22"/>
        </w:rPr>
      </w:pPr>
      <w:r w:rsidRPr="005D38E0">
        <w:rPr>
          <w:rFonts w:cs="Arial"/>
          <w:color w:val="000000"/>
          <w:kern w:val="0"/>
          <w:szCs w:val="22"/>
        </w:rPr>
        <w:t>The National Framework for NHS Continuing He</w:t>
      </w:r>
      <w:r w:rsidR="005D38E0">
        <w:rPr>
          <w:rFonts w:cs="Arial"/>
          <w:color w:val="000000"/>
          <w:kern w:val="0"/>
          <w:szCs w:val="22"/>
        </w:rPr>
        <w:t xml:space="preserve">althcare and NHS-funded Nursing </w:t>
      </w:r>
      <w:r w:rsidRPr="005D38E0">
        <w:rPr>
          <w:rFonts w:cs="Arial"/>
          <w:color w:val="000000"/>
          <w:kern w:val="0"/>
          <w:szCs w:val="22"/>
        </w:rPr>
        <w:t>Care -  November 2012 (revised)</w:t>
      </w:r>
    </w:p>
    <w:p w14:paraId="34863E45" w14:textId="77777777" w:rsidR="00A83867" w:rsidRPr="005D38E0" w:rsidRDefault="00A83867" w:rsidP="005D38E0">
      <w:pPr>
        <w:numPr>
          <w:ilvl w:val="0"/>
          <w:numId w:val="1"/>
        </w:numPr>
        <w:autoSpaceDE w:val="0"/>
        <w:autoSpaceDN w:val="0"/>
        <w:adjustRightInd w:val="0"/>
        <w:spacing w:line="240" w:lineRule="auto"/>
        <w:ind w:left="284" w:hanging="284"/>
        <w:rPr>
          <w:rFonts w:cs="Arial"/>
          <w:color w:val="000000"/>
          <w:kern w:val="0"/>
          <w:szCs w:val="22"/>
        </w:rPr>
      </w:pPr>
      <w:r w:rsidRPr="005D38E0">
        <w:rPr>
          <w:rFonts w:cs="Arial"/>
          <w:color w:val="000000"/>
          <w:kern w:val="0"/>
          <w:szCs w:val="22"/>
        </w:rPr>
        <w:t>The NHS Continuing Healthcare (Responsibilities) Directions 2009</w:t>
      </w:r>
    </w:p>
    <w:p w14:paraId="1D0FB7E2" w14:textId="77777777" w:rsidR="00A83867" w:rsidRPr="005D38E0" w:rsidRDefault="00A83867" w:rsidP="005D38E0">
      <w:pPr>
        <w:numPr>
          <w:ilvl w:val="0"/>
          <w:numId w:val="1"/>
        </w:numPr>
        <w:autoSpaceDE w:val="0"/>
        <w:autoSpaceDN w:val="0"/>
        <w:adjustRightInd w:val="0"/>
        <w:spacing w:line="240" w:lineRule="auto"/>
        <w:ind w:left="284" w:hanging="284"/>
        <w:rPr>
          <w:rFonts w:cs="Arial"/>
          <w:color w:val="000000"/>
          <w:kern w:val="0"/>
          <w:szCs w:val="22"/>
        </w:rPr>
      </w:pPr>
      <w:r w:rsidRPr="005D38E0">
        <w:rPr>
          <w:rFonts w:cs="Arial"/>
          <w:color w:val="000000"/>
          <w:kern w:val="0"/>
          <w:szCs w:val="22"/>
        </w:rPr>
        <w:t xml:space="preserve">Human Rights Act 1998  </w:t>
      </w:r>
    </w:p>
    <w:p w14:paraId="7F0E1245" w14:textId="77777777" w:rsidR="00A83867" w:rsidRPr="005D38E0" w:rsidRDefault="00A83867" w:rsidP="005D38E0">
      <w:pPr>
        <w:numPr>
          <w:ilvl w:val="0"/>
          <w:numId w:val="1"/>
        </w:numPr>
        <w:autoSpaceDE w:val="0"/>
        <w:autoSpaceDN w:val="0"/>
        <w:adjustRightInd w:val="0"/>
        <w:spacing w:line="240" w:lineRule="auto"/>
        <w:ind w:left="284" w:hanging="284"/>
        <w:rPr>
          <w:rFonts w:cs="Arial"/>
          <w:color w:val="000000"/>
          <w:kern w:val="0"/>
          <w:szCs w:val="22"/>
        </w:rPr>
      </w:pPr>
      <w:r w:rsidRPr="005D38E0">
        <w:rPr>
          <w:rFonts w:cs="Arial"/>
          <w:color w:val="000000"/>
          <w:kern w:val="0"/>
          <w:szCs w:val="22"/>
        </w:rPr>
        <w:t>National Assistance Act 1948 (Choice of Accommodation) Directions 1992 (as amended)</w:t>
      </w:r>
    </w:p>
    <w:p w14:paraId="59DFD19C" w14:textId="77777777" w:rsidR="00A83867" w:rsidRPr="005D38E0" w:rsidRDefault="00A83867" w:rsidP="005D38E0">
      <w:pPr>
        <w:numPr>
          <w:ilvl w:val="0"/>
          <w:numId w:val="1"/>
        </w:numPr>
        <w:autoSpaceDE w:val="0"/>
        <w:autoSpaceDN w:val="0"/>
        <w:adjustRightInd w:val="0"/>
        <w:spacing w:line="240" w:lineRule="auto"/>
        <w:ind w:left="284" w:hanging="284"/>
        <w:rPr>
          <w:rFonts w:cs="Arial"/>
          <w:color w:val="000000"/>
          <w:kern w:val="0"/>
          <w:szCs w:val="22"/>
        </w:rPr>
      </w:pPr>
      <w:r w:rsidRPr="005D38E0">
        <w:rPr>
          <w:rFonts w:cs="Arial"/>
          <w:color w:val="000000"/>
          <w:kern w:val="0"/>
          <w:szCs w:val="22"/>
        </w:rPr>
        <w:t>Guidance on: National Assistance Act 1948 (Choice of Accommodation) Directions 1992. National Assistance (Residential Accommodation) (Additional Payments and Assessment of Resources) (Amendment) (England) Regulations 2001</w:t>
      </w:r>
    </w:p>
    <w:p w14:paraId="7A7920EA" w14:textId="77777777" w:rsidR="00A83867" w:rsidRPr="005D38E0" w:rsidRDefault="00A83867" w:rsidP="005D38E0">
      <w:pPr>
        <w:numPr>
          <w:ilvl w:val="0"/>
          <w:numId w:val="1"/>
        </w:numPr>
        <w:autoSpaceDE w:val="0"/>
        <w:autoSpaceDN w:val="0"/>
        <w:adjustRightInd w:val="0"/>
        <w:spacing w:line="240" w:lineRule="auto"/>
        <w:ind w:left="284" w:hanging="284"/>
        <w:rPr>
          <w:rFonts w:cs="Arial"/>
          <w:color w:val="000000"/>
          <w:kern w:val="0"/>
          <w:szCs w:val="22"/>
        </w:rPr>
      </w:pPr>
      <w:r w:rsidRPr="005D38E0">
        <w:rPr>
          <w:rFonts w:cs="Arial"/>
          <w:color w:val="000000"/>
          <w:kern w:val="0"/>
          <w:szCs w:val="22"/>
        </w:rPr>
        <w:t>Updated guidance on National Assistance Act 1948 (Choice of Accommodation) Directions 1992: Consultation outcome (14 October 2004)</w:t>
      </w:r>
    </w:p>
    <w:p w14:paraId="13F0A9A5" w14:textId="77777777" w:rsidR="00A83867" w:rsidRPr="005D38E0" w:rsidRDefault="00A83867" w:rsidP="005D38E0">
      <w:pPr>
        <w:numPr>
          <w:ilvl w:val="0"/>
          <w:numId w:val="1"/>
        </w:numPr>
        <w:autoSpaceDE w:val="0"/>
        <w:autoSpaceDN w:val="0"/>
        <w:adjustRightInd w:val="0"/>
        <w:spacing w:line="240" w:lineRule="auto"/>
        <w:ind w:left="284" w:hanging="284"/>
        <w:rPr>
          <w:rFonts w:cs="Arial"/>
          <w:color w:val="000000"/>
          <w:kern w:val="0"/>
          <w:szCs w:val="22"/>
        </w:rPr>
      </w:pPr>
      <w:r w:rsidRPr="005D38E0">
        <w:rPr>
          <w:rFonts w:cs="Arial"/>
          <w:color w:val="000000"/>
          <w:kern w:val="0"/>
          <w:szCs w:val="22"/>
        </w:rPr>
        <w:t>National Health Service Income Generation - Best practice: Revised guidance on income generation in the NHS (1 February 2006)</w:t>
      </w:r>
    </w:p>
    <w:p w14:paraId="12A8E381" w14:textId="77777777" w:rsidR="00A83867" w:rsidRPr="005D38E0" w:rsidRDefault="00A83867" w:rsidP="005D38E0">
      <w:pPr>
        <w:numPr>
          <w:ilvl w:val="0"/>
          <w:numId w:val="1"/>
        </w:numPr>
        <w:autoSpaceDE w:val="0"/>
        <w:autoSpaceDN w:val="0"/>
        <w:adjustRightInd w:val="0"/>
        <w:spacing w:line="240" w:lineRule="auto"/>
        <w:ind w:left="284" w:hanging="284"/>
        <w:rPr>
          <w:rFonts w:cs="Arial"/>
          <w:color w:val="000000"/>
          <w:kern w:val="0"/>
          <w:szCs w:val="22"/>
        </w:rPr>
      </w:pPr>
      <w:r w:rsidRPr="005D38E0">
        <w:rPr>
          <w:rFonts w:cs="Arial"/>
          <w:color w:val="000000"/>
          <w:kern w:val="0"/>
          <w:szCs w:val="22"/>
        </w:rPr>
        <w:t xml:space="preserve">National Health Service Act 2006 </w:t>
      </w:r>
    </w:p>
    <w:p w14:paraId="742C870E" w14:textId="069B3A0C" w:rsidR="00A83867" w:rsidRPr="005D38E0" w:rsidRDefault="00A83867" w:rsidP="005D38E0">
      <w:pPr>
        <w:numPr>
          <w:ilvl w:val="0"/>
          <w:numId w:val="1"/>
        </w:numPr>
        <w:autoSpaceDE w:val="0"/>
        <w:autoSpaceDN w:val="0"/>
        <w:adjustRightInd w:val="0"/>
        <w:spacing w:line="240" w:lineRule="auto"/>
        <w:ind w:left="284" w:hanging="284"/>
        <w:rPr>
          <w:rFonts w:cs="Arial"/>
          <w:color w:val="000000"/>
          <w:kern w:val="0"/>
          <w:szCs w:val="22"/>
        </w:rPr>
      </w:pPr>
      <w:r w:rsidRPr="005D38E0">
        <w:rPr>
          <w:rFonts w:cs="Arial"/>
          <w:color w:val="000000"/>
          <w:kern w:val="0"/>
          <w:szCs w:val="22"/>
        </w:rPr>
        <w:t>Who Pays? Establishing the Responsible Commissioner (August</w:t>
      </w:r>
      <w:r w:rsidR="000A4364">
        <w:rPr>
          <w:rFonts w:cs="Arial"/>
          <w:color w:val="000000"/>
          <w:kern w:val="0"/>
          <w:szCs w:val="22"/>
        </w:rPr>
        <w:t xml:space="preserve"> 2020</w:t>
      </w:r>
      <w:r w:rsidRPr="005D38E0">
        <w:rPr>
          <w:rFonts w:cs="Arial"/>
          <w:color w:val="000000"/>
          <w:kern w:val="0"/>
          <w:szCs w:val="22"/>
        </w:rPr>
        <w:t>)</w:t>
      </w:r>
    </w:p>
    <w:p w14:paraId="6B4610F4" w14:textId="77777777" w:rsidR="00A83867" w:rsidRPr="005D38E0" w:rsidRDefault="00A83867" w:rsidP="005D38E0">
      <w:pPr>
        <w:numPr>
          <w:ilvl w:val="0"/>
          <w:numId w:val="1"/>
        </w:numPr>
        <w:autoSpaceDE w:val="0"/>
        <w:autoSpaceDN w:val="0"/>
        <w:adjustRightInd w:val="0"/>
        <w:spacing w:line="240" w:lineRule="auto"/>
        <w:ind w:left="284" w:hanging="284"/>
        <w:rPr>
          <w:rFonts w:cs="Arial"/>
          <w:color w:val="000000"/>
          <w:kern w:val="0"/>
          <w:szCs w:val="22"/>
        </w:rPr>
      </w:pPr>
      <w:r w:rsidRPr="005D38E0">
        <w:rPr>
          <w:rFonts w:cs="Arial"/>
          <w:color w:val="000000"/>
          <w:kern w:val="0"/>
          <w:szCs w:val="22"/>
        </w:rPr>
        <w:t>Relevant case law</w:t>
      </w:r>
    </w:p>
    <w:p w14:paraId="7A055DFE" w14:textId="77777777" w:rsidR="00A83867" w:rsidRPr="005D38E0" w:rsidRDefault="00A83867" w:rsidP="005D38E0">
      <w:pPr>
        <w:numPr>
          <w:ilvl w:val="0"/>
          <w:numId w:val="1"/>
        </w:numPr>
        <w:autoSpaceDE w:val="0"/>
        <w:autoSpaceDN w:val="0"/>
        <w:adjustRightInd w:val="0"/>
        <w:spacing w:line="240" w:lineRule="auto"/>
        <w:ind w:left="284" w:hanging="284"/>
        <w:rPr>
          <w:rFonts w:cs="Arial"/>
          <w:color w:val="000000"/>
          <w:kern w:val="0"/>
          <w:szCs w:val="22"/>
        </w:rPr>
      </w:pPr>
      <w:r w:rsidRPr="005D38E0">
        <w:rPr>
          <w:rFonts w:cs="Arial"/>
          <w:color w:val="000000"/>
          <w:kern w:val="0"/>
          <w:szCs w:val="22"/>
        </w:rPr>
        <w:t>NEL Choice Policy: for NHS funded care</w:t>
      </w:r>
    </w:p>
    <w:p w14:paraId="3AF3D521" w14:textId="77777777" w:rsidR="00A83867" w:rsidRPr="005D38E0" w:rsidRDefault="00A83867" w:rsidP="005D38E0">
      <w:pPr>
        <w:numPr>
          <w:ilvl w:val="0"/>
          <w:numId w:val="1"/>
        </w:numPr>
        <w:autoSpaceDE w:val="0"/>
        <w:autoSpaceDN w:val="0"/>
        <w:adjustRightInd w:val="0"/>
        <w:spacing w:line="240" w:lineRule="auto"/>
        <w:ind w:left="284" w:hanging="284"/>
        <w:rPr>
          <w:rFonts w:cs="Arial"/>
          <w:color w:val="000000"/>
          <w:kern w:val="0"/>
          <w:szCs w:val="22"/>
        </w:rPr>
      </w:pPr>
      <w:r w:rsidRPr="005D38E0">
        <w:rPr>
          <w:rFonts w:cs="Arial"/>
          <w:color w:val="000000"/>
          <w:kern w:val="0"/>
          <w:szCs w:val="22"/>
        </w:rPr>
        <w:t>NEL Practice Guide: Personal Health Budgets in NHS CHC</w:t>
      </w:r>
    </w:p>
    <w:p w14:paraId="37443692" w14:textId="77777777" w:rsidR="00A83867" w:rsidRPr="005D38E0" w:rsidRDefault="00A83867" w:rsidP="005D38E0">
      <w:pPr>
        <w:numPr>
          <w:ilvl w:val="0"/>
          <w:numId w:val="1"/>
        </w:numPr>
        <w:autoSpaceDE w:val="0"/>
        <w:autoSpaceDN w:val="0"/>
        <w:adjustRightInd w:val="0"/>
        <w:spacing w:line="240" w:lineRule="auto"/>
        <w:ind w:left="284" w:hanging="284"/>
        <w:rPr>
          <w:rFonts w:cs="Arial"/>
          <w:color w:val="000000"/>
          <w:kern w:val="0"/>
          <w:szCs w:val="22"/>
        </w:rPr>
      </w:pPr>
      <w:r w:rsidRPr="005D38E0">
        <w:rPr>
          <w:rFonts w:cs="Arial"/>
          <w:color w:val="000000"/>
          <w:kern w:val="0"/>
          <w:szCs w:val="22"/>
        </w:rPr>
        <w:t>NEL CHC Public Information about CHC Eligibility and the Appeals Process</w:t>
      </w:r>
    </w:p>
    <w:p w14:paraId="4EEE41E0" w14:textId="77777777" w:rsidR="00A83867" w:rsidRPr="005D38E0" w:rsidRDefault="00A83867" w:rsidP="005D38E0">
      <w:pPr>
        <w:numPr>
          <w:ilvl w:val="0"/>
          <w:numId w:val="1"/>
        </w:numPr>
        <w:autoSpaceDE w:val="0"/>
        <w:autoSpaceDN w:val="0"/>
        <w:adjustRightInd w:val="0"/>
        <w:spacing w:line="240" w:lineRule="auto"/>
        <w:ind w:left="284" w:hanging="284"/>
        <w:rPr>
          <w:rFonts w:cs="Arial"/>
          <w:color w:val="000000"/>
          <w:kern w:val="0"/>
          <w:szCs w:val="22"/>
        </w:rPr>
      </w:pPr>
      <w:r w:rsidRPr="005D38E0">
        <w:rPr>
          <w:rFonts w:cs="Arial"/>
          <w:color w:val="000000"/>
          <w:kern w:val="0"/>
          <w:szCs w:val="22"/>
        </w:rPr>
        <w:t>NEL Resolution of Disputes between the Local Authority and NELCCG regarding Eligibility for NHS CHC</w:t>
      </w:r>
    </w:p>
    <w:p w14:paraId="2562091D" w14:textId="77777777" w:rsidR="00A83867" w:rsidRPr="005D38E0" w:rsidRDefault="00A83867" w:rsidP="005D38E0">
      <w:pPr>
        <w:numPr>
          <w:ilvl w:val="0"/>
          <w:numId w:val="1"/>
        </w:numPr>
        <w:autoSpaceDE w:val="0"/>
        <w:autoSpaceDN w:val="0"/>
        <w:adjustRightInd w:val="0"/>
        <w:spacing w:line="240" w:lineRule="auto"/>
        <w:ind w:left="284" w:hanging="284"/>
        <w:rPr>
          <w:rFonts w:cs="Arial"/>
          <w:color w:val="000000"/>
          <w:kern w:val="0"/>
          <w:szCs w:val="22"/>
        </w:rPr>
      </w:pPr>
      <w:r w:rsidRPr="005D38E0">
        <w:rPr>
          <w:rFonts w:cs="Arial"/>
          <w:color w:val="000000"/>
          <w:kern w:val="0"/>
          <w:szCs w:val="22"/>
        </w:rPr>
        <w:t>MCA 2005</w:t>
      </w:r>
    </w:p>
    <w:p w14:paraId="3D04761A" w14:textId="77777777" w:rsidR="00021E56" w:rsidRPr="005D38E0" w:rsidRDefault="00021E56" w:rsidP="005D38E0">
      <w:pPr>
        <w:numPr>
          <w:ilvl w:val="0"/>
          <w:numId w:val="1"/>
        </w:numPr>
        <w:autoSpaceDE w:val="0"/>
        <w:autoSpaceDN w:val="0"/>
        <w:adjustRightInd w:val="0"/>
        <w:spacing w:line="240" w:lineRule="auto"/>
        <w:ind w:left="284" w:hanging="284"/>
        <w:rPr>
          <w:rFonts w:cs="Arial"/>
          <w:color w:val="000000"/>
          <w:kern w:val="0"/>
          <w:szCs w:val="22"/>
        </w:rPr>
      </w:pPr>
      <w:r w:rsidRPr="005D38E0">
        <w:rPr>
          <w:rFonts w:cs="Arial"/>
          <w:color w:val="000000"/>
          <w:kern w:val="0"/>
          <w:szCs w:val="22"/>
        </w:rPr>
        <w:t>NHS CHC refreshed Redress Guidance 2015</w:t>
      </w:r>
    </w:p>
    <w:p w14:paraId="6F3391BE" w14:textId="77777777" w:rsidR="00624F2E" w:rsidRDefault="009E79CE" w:rsidP="0004255F">
      <w:pPr>
        <w:numPr>
          <w:ilvl w:val="0"/>
          <w:numId w:val="1"/>
        </w:numPr>
        <w:autoSpaceDE w:val="0"/>
        <w:autoSpaceDN w:val="0"/>
        <w:adjustRightInd w:val="0"/>
        <w:spacing w:line="240" w:lineRule="auto"/>
        <w:ind w:left="284" w:hanging="284"/>
        <w:rPr>
          <w:rFonts w:cs="Arial"/>
          <w:color w:val="000000"/>
          <w:kern w:val="0"/>
          <w:szCs w:val="22"/>
        </w:rPr>
      </w:pPr>
      <w:r w:rsidRPr="005D38E0">
        <w:rPr>
          <w:rFonts w:cs="Arial"/>
          <w:color w:val="000000"/>
          <w:kern w:val="0"/>
          <w:szCs w:val="22"/>
        </w:rPr>
        <w:t>NELCCG Ethical and Pragmatic Decision Making Policy</w:t>
      </w:r>
    </w:p>
    <w:p w14:paraId="4034069F" w14:textId="77777777" w:rsidR="00E15FDF" w:rsidRDefault="00E15FDF" w:rsidP="007F2DF3">
      <w:pPr>
        <w:pStyle w:val="Heading1"/>
        <w:rPr>
          <w:noProof/>
          <w:szCs w:val="24"/>
        </w:rPr>
      </w:pPr>
      <w:bookmarkStart w:id="24" w:name="_Toc26869253"/>
    </w:p>
    <w:p w14:paraId="34B63141" w14:textId="77777777" w:rsidR="00E15FDF" w:rsidRDefault="00E15FDF" w:rsidP="007F2DF3">
      <w:pPr>
        <w:pStyle w:val="Heading1"/>
        <w:rPr>
          <w:noProof/>
          <w:szCs w:val="24"/>
        </w:rPr>
      </w:pPr>
    </w:p>
    <w:p w14:paraId="30953D08" w14:textId="26EEDD8D" w:rsidR="00482616" w:rsidRPr="005B2660" w:rsidRDefault="00482616" w:rsidP="007F2DF3">
      <w:pPr>
        <w:pStyle w:val="Heading1"/>
        <w:rPr>
          <w:color w:val="242424"/>
          <w:lang w:val="en-US"/>
        </w:rPr>
      </w:pPr>
      <w:r w:rsidRPr="005B2660">
        <w:rPr>
          <w:noProof/>
        </w:rPr>
        <w:lastRenderedPageBreak/>
        <w:t>APPENDIX 1</w:t>
      </w:r>
      <w:bookmarkEnd w:id="24"/>
    </w:p>
    <w:p w14:paraId="685316CC" w14:textId="77777777" w:rsidR="00482616" w:rsidRPr="005B2660" w:rsidRDefault="00482616" w:rsidP="003C0993">
      <w:pPr>
        <w:spacing w:line="240" w:lineRule="auto"/>
        <w:jc w:val="center"/>
        <w:rPr>
          <w:rFonts w:cs="Arial"/>
          <w:b/>
          <w:color w:val="242424"/>
          <w:lang w:val="en-US"/>
        </w:rPr>
      </w:pPr>
    </w:p>
    <w:p w14:paraId="569E8778" w14:textId="77777777" w:rsidR="00482616" w:rsidRPr="005B2660" w:rsidRDefault="00482616" w:rsidP="003C0993">
      <w:pPr>
        <w:spacing w:line="240" w:lineRule="auto"/>
        <w:rPr>
          <w:rFonts w:cs="Arial"/>
          <w:b/>
          <w:color w:val="242424"/>
          <w:lang w:val="en-US"/>
        </w:rPr>
      </w:pPr>
      <w:r w:rsidRPr="005B2660">
        <w:rPr>
          <w:rFonts w:cs="Arial"/>
          <w:b/>
          <w:color w:val="242424"/>
          <w:lang w:val="en-US"/>
        </w:rPr>
        <w:t>GUIDANCE TO JOINT/INTEGRATED PACKAGES OF HEALTH AND SOCIAL CARE SERVICES</w:t>
      </w:r>
    </w:p>
    <w:p w14:paraId="1ABFEDFF" w14:textId="77777777" w:rsidR="00482616" w:rsidRPr="005B2660" w:rsidRDefault="00482616" w:rsidP="003C0993">
      <w:pPr>
        <w:spacing w:line="240" w:lineRule="auto"/>
        <w:rPr>
          <w:rFonts w:cs="Arial"/>
          <w:color w:val="242424"/>
          <w:sz w:val="21"/>
          <w:szCs w:val="21"/>
          <w:lang w:val="en-US"/>
        </w:rPr>
      </w:pPr>
    </w:p>
    <w:p w14:paraId="501A1C96" w14:textId="77777777" w:rsidR="00482616" w:rsidRPr="005B2660" w:rsidRDefault="00482616" w:rsidP="003C0993">
      <w:pPr>
        <w:spacing w:line="240" w:lineRule="auto"/>
      </w:pPr>
      <w:r w:rsidRPr="005B2660">
        <w:t>According to N</w:t>
      </w:r>
      <w:r w:rsidR="003B62F8">
        <w:t xml:space="preserve">orth </w:t>
      </w:r>
      <w:r w:rsidRPr="005B2660">
        <w:t>E</w:t>
      </w:r>
      <w:r w:rsidR="003B62F8">
        <w:t xml:space="preserve">ast </w:t>
      </w:r>
      <w:r w:rsidRPr="005B2660">
        <w:t>L</w:t>
      </w:r>
      <w:r w:rsidR="003B62F8">
        <w:t>incolnshire</w:t>
      </w:r>
      <w:r w:rsidRPr="005B2660">
        <w:t xml:space="preserve"> Local Authority eligibility threshold, it will be responsible for providing such social care, including personal care, as can lawfully be provided following the Coughlan limits. With respect to other types of joint package, the extent to which each service should provide care is for NHS and L</w:t>
      </w:r>
      <w:r w:rsidR="003B62F8">
        <w:t xml:space="preserve">ocal </w:t>
      </w:r>
      <w:r w:rsidRPr="005B2660">
        <w:t>A</w:t>
      </w:r>
      <w:r w:rsidR="003B62F8">
        <w:t>uthority</w:t>
      </w:r>
      <w:r w:rsidRPr="005B2660">
        <w:t xml:space="preserve"> partners to agree, bearing in mind the fact that L</w:t>
      </w:r>
      <w:r w:rsidR="003B62F8">
        <w:t xml:space="preserve">ocal </w:t>
      </w:r>
      <w:r w:rsidRPr="005B2660">
        <w:t>A</w:t>
      </w:r>
      <w:r w:rsidR="003B62F8">
        <w:t>uthoritie</w:t>
      </w:r>
      <w:r w:rsidRPr="005B2660">
        <w:t xml:space="preserve">s can provide some health services, subject to the legal limitations. </w:t>
      </w:r>
    </w:p>
    <w:p w14:paraId="14C7953D" w14:textId="77777777" w:rsidR="00482616" w:rsidRPr="005B2660" w:rsidRDefault="00482616" w:rsidP="003C0993">
      <w:pPr>
        <w:autoSpaceDE w:val="0"/>
        <w:autoSpaceDN w:val="0"/>
        <w:adjustRightInd w:val="0"/>
        <w:spacing w:line="240" w:lineRule="auto"/>
        <w:ind w:right="425"/>
        <w:rPr>
          <w:rFonts w:cs="Arial"/>
          <w:color w:val="000000"/>
        </w:rPr>
      </w:pPr>
    </w:p>
    <w:p w14:paraId="47B50A78" w14:textId="799867AA" w:rsidR="00482616" w:rsidRPr="005B2660" w:rsidRDefault="00482616" w:rsidP="003C0993">
      <w:pPr>
        <w:spacing w:line="240" w:lineRule="auto"/>
      </w:pPr>
      <w:r w:rsidRPr="005B2660">
        <w:t xml:space="preserve">Any adjustment to joint funding arrangements will be made within one month of the Continuing Healthcare Decision Forum agreement or in the case of </w:t>
      </w:r>
      <w:proofErr w:type="gramStart"/>
      <w:r w:rsidRPr="005B2660">
        <w:t>high cost</w:t>
      </w:r>
      <w:proofErr w:type="gramEnd"/>
      <w:r w:rsidRPr="005B2660">
        <w:t xml:space="preserve"> packages</w:t>
      </w:r>
      <w:r w:rsidR="000A4364">
        <w:t xml:space="preserve"> ICAAP</w:t>
      </w:r>
      <w:r w:rsidRPr="005B2660">
        <w:t xml:space="preserve"> will finalise the funding split.  Such adjustments may include a refund being due to the adult social care budget, or the NHS budget, or to an individual who has contributed more than is required.</w:t>
      </w:r>
    </w:p>
    <w:p w14:paraId="075F781C" w14:textId="77777777" w:rsidR="00482616" w:rsidRPr="005B2660" w:rsidRDefault="00482616" w:rsidP="003C0993">
      <w:pPr>
        <w:autoSpaceDE w:val="0"/>
        <w:autoSpaceDN w:val="0"/>
        <w:adjustRightInd w:val="0"/>
        <w:spacing w:line="240" w:lineRule="auto"/>
        <w:ind w:right="425"/>
        <w:rPr>
          <w:rFonts w:cs="Arial"/>
          <w:color w:val="000000"/>
        </w:rPr>
      </w:pPr>
    </w:p>
    <w:p w14:paraId="748F8DD4" w14:textId="77777777" w:rsidR="00482616" w:rsidRPr="005B2660" w:rsidRDefault="00482616" w:rsidP="003C0993">
      <w:pPr>
        <w:spacing w:line="240" w:lineRule="auto"/>
      </w:pPr>
      <w:r w:rsidRPr="005B2660">
        <w:t>This policy relates only to joint package of care following a</w:t>
      </w:r>
      <w:r w:rsidR="003B62F8">
        <w:t>n North East Lincolnshire</w:t>
      </w:r>
      <w:r w:rsidRPr="005B2660">
        <w:t xml:space="preserve"> CCG decision that an individual does not have a primary health need and does not qualify for a full package of care arranged and funded by the NHS  but that the assessment indicates that there are some needs that may be a NHS responsibility to fund. </w:t>
      </w:r>
      <w:r w:rsidRPr="005B2660">
        <w:rPr>
          <w:color w:val="FF0000"/>
        </w:rPr>
        <w:t> </w:t>
      </w:r>
      <w:r w:rsidRPr="005B2660">
        <w:t xml:space="preserve">This does not necessarily mean the funds will be from the CHC budget but from the wider CCG budget examples </w:t>
      </w:r>
      <w:r w:rsidR="003B62F8" w:rsidRPr="00B52074">
        <w:rPr>
          <w:i/>
        </w:rPr>
        <w:t>(from the F</w:t>
      </w:r>
      <w:r w:rsidRPr="00B52074">
        <w:rPr>
          <w:i/>
        </w:rPr>
        <w:t>ramework)</w:t>
      </w:r>
      <w:r w:rsidRPr="005B2660">
        <w:rPr>
          <w:i/>
          <w:color w:val="F79646"/>
        </w:rPr>
        <w:t xml:space="preserve"> </w:t>
      </w:r>
      <w:r w:rsidRPr="005B2660">
        <w:t>given below.</w:t>
      </w:r>
    </w:p>
    <w:p w14:paraId="4240FF0B" w14:textId="77777777" w:rsidR="00482616" w:rsidRPr="005B2660" w:rsidRDefault="00482616" w:rsidP="003C0993">
      <w:pPr>
        <w:spacing w:line="240" w:lineRule="auto"/>
      </w:pPr>
    </w:p>
    <w:p w14:paraId="52851ABE" w14:textId="77777777" w:rsidR="00482616" w:rsidRPr="005B2660" w:rsidRDefault="00482616" w:rsidP="003C0993">
      <w:pPr>
        <w:spacing w:line="240" w:lineRule="auto"/>
        <w:rPr>
          <w:rFonts w:eastAsia="Calibri"/>
        </w:rPr>
      </w:pPr>
      <w:r w:rsidRPr="005B2660">
        <w:rPr>
          <w:rFonts w:eastAsia="Calibri"/>
        </w:rPr>
        <w:t>In addition to NHS FNC where the care provided by a nurse within a care home registered to provide nursing care is paid directly to the care home by the NHS. The NHS is required to provide and fund a number of “through the door” community services. These may also form part of any joint package of care. CHC funding cannot be used to fund replacements for these services.  Examples of these services include (but are not limited to):</w:t>
      </w:r>
    </w:p>
    <w:p w14:paraId="575FCB61" w14:textId="77777777" w:rsidR="00482616" w:rsidRPr="005B2660" w:rsidRDefault="00482616" w:rsidP="003C0993">
      <w:pPr>
        <w:spacing w:line="240" w:lineRule="auto"/>
        <w:rPr>
          <w:rFonts w:eastAsia="Calibri"/>
        </w:rPr>
      </w:pPr>
    </w:p>
    <w:p w14:paraId="110A38B5" w14:textId="77777777" w:rsidR="00482616" w:rsidRPr="003B62F8" w:rsidRDefault="00482616" w:rsidP="003B62F8">
      <w:pPr>
        <w:numPr>
          <w:ilvl w:val="0"/>
          <w:numId w:val="1"/>
        </w:numPr>
        <w:autoSpaceDE w:val="0"/>
        <w:autoSpaceDN w:val="0"/>
        <w:adjustRightInd w:val="0"/>
        <w:spacing w:line="240" w:lineRule="auto"/>
        <w:ind w:left="284" w:hanging="284"/>
        <w:rPr>
          <w:rFonts w:cs="Arial"/>
          <w:color w:val="000000"/>
          <w:kern w:val="0"/>
          <w:szCs w:val="22"/>
        </w:rPr>
      </w:pPr>
      <w:r w:rsidRPr="003B62F8">
        <w:rPr>
          <w:rFonts w:cs="Arial"/>
          <w:color w:val="000000"/>
          <w:kern w:val="0"/>
          <w:szCs w:val="22"/>
        </w:rPr>
        <w:t>Primary healthcare, including GP’s and Community Nurses, assessment involving doctors and registered nurses.</w:t>
      </w:r>
    </w:p>
    <w:p w14:paraId="502E43E1" w14:textId="77777777" w:rsidR="00482616" w:rsidRPr="003B62F8" w:rsidRDefault="00482616" w:rsidP="003B62F8">
      <w:pPr>
        <w:numPr>
          <w:ilvl w:val="0"/>
          <w:numId w:val="1"/>
        </w:numPr>
        <w:autoSpaceDE w:val="0"/>
        <w:autoSpaceDN w:val="0"/>
        <w:adjustRightInd w:val="0"/>
        <w:spacing w:line="240" w:lineRule="auto"/>
        <w:ind w:left="284" w:hanging="284"/>
        <w:rPr>
          <w:rFonts w:cs="Arial"/>
          <w:color w:val="000000"/>
          <w:kern w:val="0"/>
          <w:szCs w:val="22"/>
        </w:rPr>
      </w:pPr>
      <w:r w:rsidRPr="003B62F8">
        <w:rPr>
          <w:rFonts w:cs="Arial"/>
          <w:color w:val="000000"/>
          <w:kern w:val="0"/>
          <w:szCs w:val="22"/>
        </w:rPr>
        <w:t xml:space="preserve">Rehabilitation/enablement and recovery (where this forms part of an overall package of NHS care, as distinct from intermediate care). </w:t>
      </w:r>
    </w:p>
    <w:p w14:paraId="19EEFD8F" w14:textId="77777777" w:rsidR="00482616" w:rsidRPr="003B62F8" w:rsidRDefault="00482616" w:rsidP="003B62F8">
      <w:pPr>
        <w:numPr>
          <w:ilvl w:val="0"/>
          <w:numId w:val="1"/>
        </w:numPr>
        <w:autoSpaceDE w:val="0"/>
        <w:autoSpaceDN w:val="0"/>
        <w:adjustRightInd w:val="0"/>
        <w:spacing w:line="240" w:lineRule="auto"/>
        <w:ind w:left="284" w:hanging="284"/>
        <w:rPr>
          <w:rFonts w:cs="Arial"/>
          <w:color w:val="000000"/>
          <w:kern w:val="0"/>
          <w:szCs w:val="22"/>
        </w:rPr>
      </w:pPr>
      <w:r w:rsidRPr="003B62F8">
        <w:rPr>
          <w:rFonts w:cs="Arial"/>
          <w:color w:val="000000"/>
          <w:kern w:val="0"/>
          <w:szCs w:val="22"/>
        </w:rPr>
        <w:t>Intermediate care.</w:t>
      </w:r>
    </w:p>
    <w:p w14:paraId="0082233B" w14:textId="77777777" w:rsidR="00482616" w:rsidRPr="003B62F8" w:rsidRDefault="003B62F8" w:rsidP="003B62F8">
      <w:pPr>
        <w:numPr>
          <w:ilvl w:val="0"/>
          <w:numId w:val="1"/>
        </w:numPr>
        <w:autoSpaceDE w:val="0"/>
        <w:autoSpaceDN w:val="0"/>
        <w:adjustRightInd w:val="0"/>
        <w:spacing w:line="240" w:lineRule="auto"/>
        <w:ind w:left="284" w:hanging="284"/>
        <w:rPr>
          <w:rFonts w:cs="Arial"/>
          <w:color w:val="000000"/>
          <w:kern w:val="0"/>
          <w:szCs w:val="22"/>
        </w:rPr>
      </w:pPr>
      <w:r>
        <w:rPr>
          <w:rFonts w:cs="Arial"/>
          <w:color w:val="000000"/>
          <w:kern w:val="0"/>
          <w:szCs w:val="22"/>
        </w:rPr>
        <w:t xml:space="preserve">Community health services. </w:t>
      </w:r>
    </w:p>
    <w:p w14:paraId="1B8E3E77" w14:textId="77777777" w:rsidR="00482616" w:rsidRPr="003B62F8" w:rsidRDefault="00482616" w:rsidP="003B62F8">
      <w:pPr>
        <w:numPr>
          <w:ilvl w:val="0"/>
          <w:numId w:val="1"/>
        </w:numPr>
        <w:autoSpaceDE w:val="0"/>
        <w:autoSpaceDN w:val="0"/>
        <w:adjustRightInd w:val="0"/>
        <w:spacing w:line="240" w:lineRule="auto"/>
        <w:ind w:left="284" w:hanging="284"/>
        <w:rPr>
          <w:rFonts w:cs="Arial"/>
          <w:color w:val="000000"/>
          <w:kern w:val="0"/>
          <w:szCs w:val="22"/>
        </w:rPr>
      </w:pPr>
      <w:r w:rsidRPr="003B62F8">
        <w:rPr>
          <w:rFonts w:cs="Arial"/>
          <w:color w:val="000000"/>
          <w:kern w:val="0"/>
          <w:szCs w:val="22"/>
        </w:rPr>
        <w:t>Specialist support for healthcare needs eg Specialist Nurse support.</w:t>
      </w:r>
    </w:p>
    <w:p w14:paraId="3AFF1F44" w14:textId="77777777" w:rsidR="00482616" w:rsidRPr="005B2660" w:rsidRDefault="00482616" w:rsidP="003B62F8">
      <w:pPr>
        <w:numPr>
          <w:ilvl w:val="0"/>
          <w:numId w:val="1"/>
        </w:numPr>
        <w:autoSpaceDE w:val="0"/>
        <w:autoSpaceDN w:val="0"/>
        <w:adjustRightInd w:val="0"/>
        <w:spacing w:line="240" w:lineRule="auto"/>
        <w:ind w:left="284" w:hanging="284"/>
        <w:rPr>
          <w:rFonts w:eastAsia="Calibri"/>
        </w:rPr>
      </w:pPr>
      <w:r w:rsidRPr="003B62F8">
        <w:rPr>
          <w:rFonts w:cs="Arial"/>
          <w:color w:val="000000"/>
          <w:kern w:val="0"/>
          <w:szCs w:val="22"/>
        </w:rPr>
        <w:t>Palliative care and end of life healthcare.</w:t>
      </w:r>
      <w:r w:rsidRPr="005B2660">
        <w:rPr>
          <w:rFonts w:eastAsia="Calibri"/>
        </w:rPr>
        <w:t xml:space="preserve"> </w:t>
      </w:r>
    </w:p>
    <w:p w14:paraId="685F5658" w14:textId="77777777" w:rsidR="00482616" w:rsidRPr="005B2660" w:rsidRDefault="00482616" w:rsidP="003C0993">
      <w:pPr>
        <w:spacing w:line="240" w:lineRule="auto"/>
      </w:pPr>
    </w:p>
    <w:p w14:paraId="2C806003" w14:textId="77777777" w:rsidR="00482616" w:rsidRPr="005B2660" w:rsidRDefault="00482616" w:rsidP="003C0993">
      <w:pPr>
        <w:spacing w:line="240" w:lineRule="auto"/>
      </w:pPr>
      <w:r w:rsidRPr="005B2660">
        <w:t>Section 117 is a freestanding duty to provide after-care services for needs arising from their mental disorder and CCGs and L</w:t>
      </w:r>
      <w:r w:rsidR="00E7571E">
        <w:t xml:space="preserve">ocal </w:t>
      </w:r>
      <w:r w:rsidRPr="005B2660">
        <w:t>A</w:t>
      </w:r>
      <w:r w:rsidR="00E7571E">
        <w:t>uthoritie</w:t>
      </w:r>
      <w:r w:rsidRPr="005B2660">
        <w:t>s should have in place local policies detailing their respective responsibilities, including funding arrangements. 120. Responsibility for the provision of section 117 services lies jointly with L</w:t>
      </w:r>
      <w:r w:rsidR="00E7571E">
        <w:t xml:space="preserve">ocal </w:t>
      </w:r>
      <w:r w:rsidRPr="005B2660">
        <w:t>A</w:t>
      </w:r>
      <w:r w:rsidR="00E7571E">
        <w:t>uthoritie</w:t>
      </w:r>
      <w:r w:rsidRPr="005B2660">
        <w:t xml:space="preserve">s </w:t>
      </w:r>
    </w:p>
    <w:p w14:paraId="53F01819" w14:textId="77777777" w:rsidR="00482616" w:rsidRPr="005B2660" w:rsidRDefault="00482616" w:rsidP="003C0993">
      <w:pPr>
        <w:spacing w:line="240" w:lineRule="auto"/>
      </w:pPr>
    </w:p>
    <w:p w14:paraId="3CD95C16" w14:textId="77777777" w:rsidR="00482616" w:rsidRDefault="00482616" w:rsidP="003C0993">
      <w:pPr>
        <w:spacing w:line="240" w:lineRule="auto"/>
      </w:pPr>
      <w:r w:rsidRPr="005B2660">
        <w:t xml:space="preserve">Apart from a CCG’s responsibilities for NHS continuing healthcare and their respective responsibilities under the Mental Health Act 1983, there may be other circumstances when the NHS is expected to take responsibility for a person’s long-term care. One example might be people with learning disabilities, where there may be an existing agreement to fund on-going care for individuals following the closure of long-stay hospitals or campuses. These responsibilities arise independently of a CCG’s responsibility to provide NHS continuing healthcare, and there should be no assumption that these responsibilities equate to eligibility for NHS continuing healthcare or vice versa or that there is a responsibility to joint fund these </w:t>
      </w:r>
      <w:r w:rsidRPr="005B2660">
        <w:lastRenderedPageBreak/>
        <w:t xml:space="preserve">packages of care. Such agreements vary in terms of the commitments they make to fund needs that subsequently arise. </w:t>
      </w:r>
    </w:p>
    <w:p w14:paraId="79AE8C22" w14:textId="77777777" w:rsidR="00E7571E" w:rsidRPr="005B2660" w:rsidRDefault="00E7571E" w:rsidP="003C0993">
      <w:pPr>
        <w:spacing w:line="240" w:lineRule="auto"/>
      </w:pPr>
    </w:p>
    <w:p w14:paraId="3842F3E1" w14:textId="77777777" w:rsidR="00482616" w:rsidRPr="005B2660" w:rsidRDefault="00482616" w:rsidP="003C0993">
      <w:pPr>
        <w:spacing w:line="240" w:lineRule="auto"/>
      </w:pPr>
      <w:r w:rsidRPr="005B2660">
        <w:t>Where additional needs do arise, it will be important for the CCG to first check whether there is clarity in such agreements on whether or not they cover responsibilities to meet such needs. If the additional needs fall outside the agreement, CCGs must consider their responsibilities to meet them, in terms both of the CCG’s general responsibilities and potential eligibility for NHS continuing healthcare.</w:t>
      </w:r>
    </w:p>
    <w:p w14:paraId="7B92DE91" w14:textId="77777777" w:rsidR="00482616" w:rsidRPr="005B2660" w:rsidRDefault="00482616" w:rsidP="003C0993">
      <w:pPr>
        <w:spacing w:line="240" w:lineRule="auto"/>
      </w:pPr>
    </w:p>
    <w:p w14:paraId="4C716D17" w14:textId="77777777" w:rsidR="00482616" w:rsidRPr="005B2660" w:rsidRDefault="00482616" w:rsidP="003C0993">
      <w:pPr>
        <w:spacing w:line="240" w:lineRule="auto"/>
        <w:rPr>
          <w:rFonts w:eastAsia="Calibri"/>
        </w:rPr>
      </w:pPr>
      <w:r w:rsidRPr="005B2660">
        <w:rPr>
          <w:rFonts w:eastAsia="Calibri"/>
        </w:rPr>
        <w:t xml:space="preserve">It is important that all assessments and reviews are carried out jointly by NHS and ASC practitioners.  These practitioners will work collaboratively to draw up jointly agreed care plan(s).  For most joint packages of care, ASC will be responsible for case management.  However, this may not always be appropriate; each case should be considered individually and the most appropriate person identified to case manage.  </w:t>
      </w:r>
    </w:p>
    <w:p w14:paraId="3672F47B" w14:textId="77777777" w:rsidR="00482616" w:rsidRPr="005B2660" w:rsidRDefault="00482616" w:rsidP="003C0993">
      <w:pPr>
        <w:spacing w:line="240" w:lineRule="auto"/>
        <w:rPr>
          <w:rFonts w:eastAsia="Calibri"/>
        </w:rPr>
      </w:pPr>
    </w:p>
    <w:p w14:paraId="7319E673" w14:textId="77777777" w:rsidR="00482616" w:rsidRPr="005B2660" w:rsidRDefault="00482616" w:rsidP="003C0993">
      <w:pPr>
        <w:spacing w:line="240" w:lineRule="auto"/>
        <w:rPr>
          <w:color w:val="00000A"/>
        </w:rPr>
      </w:pPr>
      <w:r w:rsidRPr="005B2660">
        <w:rPr>
          <w:color w:val="00000A"/>
        </w:rPr>
        <w:t xml:space="preserve">Where an individual’s eligibility for full NHS Continuing Healthcare ceases, but they are eligible for a joint package of care, the NHS case manager may retain some elements of case management. In all cases </w:t>
      </w:r>
      <w:r w:rsidRPr="005B2660">
        <w:rPr>
          <w:rFonts w:eastAsia="Calibri"/>
        </w:rPr>
        <w:t>the case manager should obtain a cost breakdown from the chosen provider(s) based on the jointly agreed care plan. The cost breakdown should be as detailed as possible, separating NHS and ASC contributions.</w:t>
      </w:r>
    </w:p>
    <w:p w14:paraId="43AACCD4" w14:textId="77777777" w:rsidR="00482616" w:rsidRPr="005B2660" w:rsidRDefault="00482616" w:rsidP="003C0993">
      <w:pPr>
        <w:spacing w:line="240" w:lineRule="auto"/>
        <w:rPr>
          <w:rFonts w:eastAsia="Calibri"/>
        </w:rPr>
      </w:pPr>
    </w:p>
    <w:p w14:paraId="0A80AF05" w14:textId="77777777" w:rsidR="00482616" w:rsidRDefault="00482616" w:rsidP="003C0993">
      <w:pPr>
        <w:spacing w:line="240" w:lineRule="auto"/>
      </w:pPr>
      <w:r w:rsidRPr="005B2660">
        <w:t>Once the care plan has been agreed by NHS and ASC practitioners, it will be submitted (together with the cost breakdown) for approval to the CHC Decision Forum.</w:t>
      </w:r>
      <w:r w:rsidR="009E082D">
        <w:t xml:space="preserve"> The NHS and ASC practitioners cannot agree/request the amount of joint funding this will be determined by Specialist practitioners at CHC Decision Forum.</w:t>
      </w:r>
    </w:p>
    <w:p w14:paraId="05C709AB" w14:textId="77777777" w:rsidR="00E7571E" w:rsidRPr="005B2660" w:rsidRDefault="00E7571E" w:rsidP="003C0993">
      <w:pPr>
        <w:spacing w:line="240" w:lineRule="auto"/>
      </w:pPr>
    </w:p>
    <w:p w14:paraId="3FCA9719" w14:textId="77777777" w:rsidR="00482616" w:rsidRDefault="00482616" w:rsidP="003C0993">
      <w:pPr>
        <w:spacing w:line="240" w:lineRule="auto"/>
        <w:rPr>
          <w:color w:val="00000A"/>
        </w:rPr>
      </w:pPr>
      <w:r w:rsidRPr="005B2660">
        <w:rPr>
          <w:color w:val="00000A"/>
        </w:rPr>
        <w:t xml:space="preserve">Those elements of a jointly agreed care plan that can clearly be identified as either an NHS or ASC responsibility will be funded partially or in full by the relevant budget holder. Where the care or support requirements cannot be clearly attributed to the NHS or ASC, the </w:t>
      </w:r>
      <w:r w:rsidR="00E7571E" w:rsidRPr="005B2660">
        <w:rPr>
          <w:color w:val="00000A"/>
        </w:rPr>
        <w:t>NHS will</w:t>
      </w:r>
      <w:r w:rsidRPr="005B2660">
        <w:rPr>
          <w:color w:val="00000A"/>
        </w:rPr>
        <w:t xml:space="preserve"> </w:t>
      </w:r>
      <w:r w:rsidR="00E7571E">
        <w:rPr>
          <w:color w:val="00000A"/>
        </w:rPr>
        <w:t xml:space="preserve">be </w:t>
      </w:r>
      <w:r w:rsidRPr="005B2660">
        <w:rPr>
          <w:color w:val="00000A"/>
        </w:rPr>
        <w:t xml:space="preserve">funded on </w:t>
      </w:r>
      <w:r w:rsidR="00E7571E" w:rsidRPr="005B2660">
        <w:rPr>
          <w:color w:val="00000A"/>
        </w:rPr>
        <w:t>a percentage</w:t>
      </w:r>
      <w:r w:rsidRPr="005B2660">
        <w:rPr>
          <w:color w:val="00000A"/>
        </w:rPr>
        <w:t xml:space="preserve"> basis.</w:t>
      </w:r>
    </w:p>
    <w:p w14:paraId="5A1379D7" w14:textId="77777777" w:rsidR="001C15F8" w:rsidRDefault="001C15F8" w:rsidP="003C0993">
      <w:pPr>
        <w:spacing w:line="240" w:lineRule="auto"/>
        <w:rPr>
          <w:color w:val="00000A"/>
        </w:rPr>
      </w:pPr>
    </w:p>
    <w:p w14:paraId="38360C31" w14:textId="77777777" w:rsidR="00031ABC" w:rsidRPr="00031ABC" w:rsidRDefault="001C15F8" w:rsidP="00031ABC">
      <w:pPr>
        <w:spacing w:line="240" w:lineRule="auto"/>
        <w:rPr>
          <w:color w:val="00000A"/>
        </w:rPr>
      </w:pPr>
      <w:r>
        <w:rPr>
          <w:color w:val="00000A"/>
        </w:rPr>
        <w:t>It is important to note tha</w:t>
      </w:r>
      <w:r w:rsidR="00031ABC">
        <w:rPr>
          <w:color w:val="00000A"/>
        </w:rPr>
        <w:t xml:space="preserve">t </w:t>
      </w:r>
      <w:proofErr w:type="gramStart"/>
      <w:r w:rsidR="00031ABC" w:rsidRPr="00031ABC">
        <w:rPr>
          <w:color w:val="00000A"/>
        </w:rPr>
        <w:t>If</w:t>
      </w:r>
      <w:proofErr w:type="gramEnd"/>
      <w:r w:rsidR="00031ABC" w:rsidRPr="00031ABC">
        <w:rPr>
          <w:color w:val="00000A"/>
        </w:rPr>
        <w:t xml:space="preserve"> a person has a joint element of care agreed by CHC decision forum for a person who has an identified health need, this will be subject to regular review.  It is important to note that Joint funding may be withdrawn if/when the identified health needs stabilise.</w:t>
      </w:r>
    </w:p>
    <w:p w14:paraId="0C7E7A89" w14:textId="77777777" w:rsidR="00031ABC" w:rsidRPr="00031ABC" w:rsidRDefault="00031ABC" w:rsidP="00031ABC">
      <w:pPr>
        <w:spacing w:line="240" w:lineRule="auto"/>
        <w:rPr>
          <w:color w:val="00000A"/>
        </w:rPr>
      </w:pPr>
    </w:p>
    <w:p w14:paraId="6B2F9F3A" w14:textId="77777777" w:rsidR="00031ABC" w:rsidRPr="00031ABC" w:rsidRDefault="00031ABC" w:rsidP="00031ABC">
      <w:pPr>
        <w:spacing w:line="240" w:lineRule="auto"/>
        <w:rPr>
          <w:color w:val="00000A"/>
        </w:rPr>
      </w:pPr>
      <w:r w:rsidRPr="00031ABC">
        <w:rPr>
          <w:color w:val="00000A"/>
        </w:rPr>
        <w:t xml:space="preserve">It is also important to note that the health element of funding contributing to a joint funded package of care must be clearly documented in the person’s plan of care along with a rationale for the amount of joint funding. </w:t>
      </w:r>
    </w:p>
    <w:p w14:paraId="1CFC5C86" w14:textId="77777777" w:rsidR="00482616" w:rsidRPr="005B2660" w:rsidRDefault="00482616" w:rsidP="003C0993">
      <w:pPr>
        <w:spacing w:line="240" w:lineRule="auto"/>
        <w:rPr>
          <w:rFonts w:eastAsia="Calibri"/>
        </w:rPr>
      </w:pPr>
    </w:p>
    <w:p w14:paraId="18763C40" w14:textId="77777777" w:rsidR="00E7571E" w:rsidRDefault="00E7571E" w:rsidP="00E7571E">
      <w:pPr>
        <w:spacing w:line="240" w:lineRule="auto"/>
        <w:rPr>
          <w:rFonts w:cs="Arial"/>
          <w:color w:val="000000"/>
        </w:rPr>
      </w:pPr>
    </w:p>
    <w:p w14:paraId="0AF2263D" w14:textId="77777777" w:rsidR="00E7571E" w:rsidRDefault="00E7571E" w:rsidP="00E7571E">
      <w:pPr>
        <w:spacing w:line="240" w:lineRule="auto"/>
        <w:rPr>
          <w:rFonts w:cs="Arial"/>
          <w:color w:val="000000"/>
        </w:rPr>
      </w:pPr>
    </w:p>
    <w:p w14:paraId="06B1B47A" w14:textId="77777777" w:rsidR="00E7571E" w:rsidRDefault="00E7571E" w:rsidP="00E7571E">
      <w:pPr>
        <w:spacing w:line="240" w:lineRule="auto"/>
        <w:rPr>
          <w:rFonts w:cs="Arial"/>
          <w:color w:val="000000"/>
        </w:rPr>
      </w:pPr>
    </w:p>
    <w:p w14:paraId="6A655647" w14:textId="77777777" w:rsidR="00B52074" w:rsidRDefault="00B52074" w:rsidP="00E7571E">
      <w:pPr>
        <w:spacing w:line="240" w:lineRule="auto"/>
        <w:rPr>
          <w:rFonts w:cs="Arial"/>
          <w:color w:val="000000"/>
        </w:rPr>
      </w:pPr>
    </w:p>
    <w:p w14:paraId="4CABD735" w14:textId="77777777" w:rsidR="00B52074" w:rsidRDefault="00B52074" w:rsidP="00E7571E">
      <w:pPr>
        <w:spacing w:line="240" w:lineRule="auto"/>
        <w:rPr>
          <w:rFonts w:cs="Arial"/>
          <w:color w:val="000000"/>
        </w:rPr>
      </w:pPr>
    </w:p>
    <w:p w14:paraId="776BD7EE" w14:textId="77777777" w:rsidR="00B52074" w:rsidRDefault="00B52074" w:rsidP="00E7571E">
      <w:pPr>
        <w:spacing w:line="240" w:lineRule="auto"/>
        <w:rPr>
          <w:rFonts w:cs="Arial"/>
          <w:color w:val="000000"/>
        </w:rPr>
      </w:pPr>
    </w:p>
    <w:p w14:paraId="7F47B0D4" w14:textId="77777777" w:rsidR="00B52074" w:rsidRDefault="00B52074" w:rsidP="00E7571E">
      <w:pPr>
        <w:spacing w:line="240" w:lineRule="auto"/>
        <w:rPr>
          <w:rFonts w:cs="Arial"/>
          <w:color w:val="000000"/>
        </w:rPr>
      </w:pPr>
    </w:p>
    <w:p w14:paraId="7C57C074" w14:textId="77777777" w:rsidR="00B52074" w:rsidRDefault="00B52074" w:rsidP="00E7571E">
      <w:pPr>
        <w:spacing w:line="240" w:lineRule="auto"/>
        <w:rPr>
          <w:rFonts w:cs="Arial"/>
          <w:color w:val="000000"/>
        </w:rPr>
      </w:pPr>
    </w:p>
    <w:p w14:paraId="4D7F23B1" w14:textId="77777777" w:rsidR="00B52074" w:rsidRDefault="00B52074" w:rsidP="00E7571E">
      <w:pPr>
        <w:spacing w:line="240" w:lineRule="auto"/>
        <w:rPr>
          <w:rFonts w:cs="Arial"/>
          <w:color w:val="000000"/>
        </w:rPr>
      </w:pPr>
    </w:p>
    <w:p w14:paraId="21891964" w14:textId="77777777" w:rsidR="00B52074" w:rsidRDefault="00B52074" w:rsidP="00E7571E">
      <w:pPr>
        <w:spacing w:line="240" w:lineRule="auto"/>
        <w:rPr>
          <w:rFonts w:cs="Arial"/>
          <w:color w:val="000000"/>
        </w:rPr>
      </w:pPr>
    </w:p>
    <w:p w14:paraId="239FCDDF" w14:textId="77777777" w:rsidR="00B52074" w:rsidRDefault="00B52074" w:rsidP="00E7571E">
      <w:pPr>
        <w:spacing w:line="240" w:lineRule="auto"/>
        <w:rPr>
          <w:rFonts w:cs="Arial"/>
          <w:color w:val="000000"/>
        </w:rPr>
      </w:pPr>
    </w:p>
    <w:p w14:paraId="44A9B4DC" w14:textId="77777777" w:rsidR="00550ECB" w:rsidRDefault="00550ECB" w:rsidP="00837547">
      <w:pPr>
        <w:pStyle w:val="Heading1"/>
        <w:rPr>
          <w:b w:val="0"/>
          <w:color w:val="000000"/>
          <w:szCs w:val="24"/>
        </w:rPr>
      </w:pPr>
    </w:p>
    <w:p w14:paraId="3D8C3563" w14:textId="77777777" w:rsidR="00837547" w:rsidRDefault="00837547" w:rsidP="00837547">
      <w:pPr>
        <w:pStyle w:val="Heading1"/>
        <w:rPr>
          <w:lang w:val="en-US"/>
        </w:rPr>
      </w:pPr>
      <w:bookmarkStart w:id="25" w:name="_Toc26869254"/>
      <w:r>
        <w:rPr>
          <w:lang w:val="en-US"/>
        </w:rPr>
        <w:lastRenderedPageBreak/>
        <w:t>APPENDIX 2</w:t>
      </w:r>
      <w:bookmarkEnd w:id="25"/>
    </w:p>
    <w:p w14:paraId="46E8EC29" w14:textId="77777777" w:rsidR="00837547" w:rsidRDefault="00837547" w:rsidP="00837547">
      <w:pPr>
        <w:spacing w:line="240" w:lineRule="auto"/>
        <w:rPr>
          <w:rFonts w:cs="Arial"/>
          <w:b/>
          <w:color w:val="242424"/>
          <w:lang w:val="en-US"/>
        </w:rPr>
      </w:pPr>
    </w:p>
    <w:p w14:paraId="70B8A886" w14:textId="77777777" w:rsidR="00837547" w:rsidRPr="00C67AE3" w:rsidRDefault="00837547" w:rsidP="00837547">
      <w:pPr>
        <w:spacing w:line="240" w:lineRule="auto"/>
        <w:jc w:val="center"/>
        <w:rPr>
          <w:rFonts w:cs="Arial"/>
          <w:b/>
          <w:kern w:val="0"/>
          <w:sz w:val="24"/>
          <w:lang w:eastAsia="en-US"/>
        </w:rPr>
      </w:pPr>
      <w:r w:rsidRPr="00C67AE3">
        <w:rPr>
          <w:rFonts w:cs="Arial"/>
          <w:b/>
          <w:kern w:val="0"/>
          <w:sz w:val="24"/>
          <w:lang w:eastAsia="en-US"/>
        </w:rPr>
        <w:t>North East Lincolns</w:t>
      </w:r>
      <w:r>
        <w:rPr>
          <w:rFonts w:cs="Arial"/>
          <w:b/>
          <w:kern w:val="0"/>
          <w:sz w:val="24"/>
          <w:lang w:eastAsia="en-US"/>
        </w:rPr>
        <w:t xml:space="preserve">hire </w:t>
      </w:r>
      <w:r w:rsidRPr="00C67AE3">
        <w:rPr>
          <w:rFonts w:cs="Arial"/>
          <w:b/>
          <w:kern w:val="0"/>
          <w:sz w:val="24"/>
          <w:lang w:eastAsia="en-US"/>
        </w:rPr>
        <w:t>Clinical Commissioning Group</w:t>
      </w:r>
    </w:p>
    <w:p w14:paraId="77260F64" w14:textId="77777777" w:rsidR="00837547" w:rsidRPr="00C67AE3" w:rsidRDefault="00837547" w:rsidP="00837547">
      <w:pPr>
        <w:spacing w:line="240" w:lineRule="auto"/>
        <w:jc w:val="center"/>
        <w:rPr>
          <w:rFonts w:cs="Arial"/>
          <w:b/>
          <w:kern w:val="0"/>
          <w:sz w:val="24"/>
          <w:lang w:eastAsia="en-US"/>
        </w:rPr>
      </w:pPr>
      <w:r w:rsidRPr="00C67AE3">
        <w:rPr>
          <w:rFonts w:cs="Arial"/>
          <w:b/>
          <w:kern w:val="0"/>
          <w:sz w:val="24"/>
          <w:lang w:eastAsia="en-US"/>
        </w:rPr>
        <w:t>Adults and Community</w:t>
      </w:r>
    </w:p>
    <w:p w14:paraId="0A297321" w14:textId="77777777" w:rsidR="00837547" w:rsidRPr="00C67AE3" w:rsidRDefault="00837547" w:rsidP="00837547">
      <w:pPr>
        <w:spacing w:line="240" w:lineRule="auto"/>
        <w:jc w:val="center"/>
        <w:rPr>
          <w:rFonts w:cs="Arial"/>
          <w:b/>
          <w:kern w:val="0"/>
          <w:sz w:val="24"/>
          <w:lang w:eastAsia="en-US"/>
        </w:rPr>
      </w:pPr>
    </w:p>
    <w:p w14:paraId="73327FF1" w14:textId="77777777" w:rsidR="00837547" w:rsidRPr="00C67AE3" w:rsidRDefault="00837547" w:rsidP="00837547">
      <w:pPr>
        <w:spacing w:line="240" w:lineRule="auto"/>
        <w:jc w:val="left"/>
        <w:rPr>
          <w:rFonts w:cs="Arial"/>
          <w:kern w:val="0"/>
          <w:sz w:val="24"/>
          <w:lang w:eastAsia="en-US"/>
        </w:rPr>
      </w:pPr>
      <w:r w:rsidRPr="00C67AE3">
        <w:rPr>
          <w:rFonts w:cs="Arial"/>
          <w:b/>
          <w:kern w:val="0"/>
          <w:sz w:val="24"/>
          <w:lang w:eastAsia="en-US"/>
        </w:rPr>
        <w:t>RESOLUTION OF DISPUTES BETWEEN THE LOCAL AUTHORITY AND THE CCG REGARDING ELIGIBILITY FOR NHS CONTINUING HEALTH CARE</w:t>
      </w:r>
    </w:p>
    <w:p w14:paraId="73634146" w14:textId="77777777" w:rsidR="00837547" w:rsidRPr="00172C11" w:rsidRDefault="00837547" w:rsidP="00837547">
      <w:pPr>
        <w:spacing w:line="240" w:lineRule="auto"/>
        <w:rPr>
          <w:rFonts w:cs="Arial"/>
          <w:kern w:val="0"/>
          <w:sz w:val="24"/>
          <w:lang w:eastAsia="en-US"/>
        </w:rPr>
      </w:pPr>
    </w:p>
    <w:p w14:paraId="41CC1D08" w14:textId="77777777" w:rsidR="00837547" w:rsidRPr="00C67AE3" w:rsidRDefault="00837547" w:rsidP="00837547">
      <w:pPr>
        <w:numPr>
          <w:ilvl w:val="0"/>
          <w:numId w:val="21"/>
        </w:numPr>
        <w:tabs>
          <w:tab w:val="clear" w:pos="720"/>
          <w:tab w:val="num" w:pos="360"/>
        </w:tabs>
        <w:spacing w:line="240" w:lineRule="auto"/>
        <w:ind w:left="360"/>
        <w:rPr>
          <w:rFonts w:cs="Arial"/>
          <w:kern w:val="0"/>
          <w:sz w:val="20"/>
          <w:szCs w:val="20"/>
          <w:lang w:eastAsia="en-US"/>
        </w:rPr>
      </w:pPr>
      <w:r w:rsidRPr="00C67AE3">
        <w:rPr>
          <w:rFonts w:cs="Arial"/>
          <w:kern w:val="0"/>
          <w:sz w:val="20"/>
          <w:szCs w:val="20"/>
          <w:lang w:eastAsia="en-US"/>
        </w:rPr>
        <w:t>The National Framework for NHS Continuing Health Care (CHC) requires CCG’s and Local Authorities to have in place a jointly agreed mechanism to resolve disputes between them on eligibility for NHS CHC (i.e. disputes in which body is responsible for funding the care package required.)</w:t>
      </w:r>
    </w:p>
    <w:p w14:paraId="4E828676" w14:textId="77777777" w:rsidR="00837547" w:rsidRPr="00C67AE3" w:rsidRDefault="00837547" w:rsidP="00837547">
      <w:pPr>
        <w:spacing w:line="240" w:lineRule="auto"/>
        <w:rPr>
          <w:rFonts w:cs="Arial"/>
          <w:kern w:val="0"/>
          <w:sz w:val="20"/>
          <w:szCs w:val="20"/>
          <w:lang w:eastAsia="en-US"/>
        </w:rPr>
      </w:pPr>
    </w:p>
    <w:p w14:paraId="006D2C72" w14:textId="77777777" w:rsidR="00837547" w:rsidRPr="00C67AE3" w:rsidRDefault="00837547" w:rsidP="00837547">
      <w:pPr>
        <w:numPr>
          <w:ilvl w:val="0"/>
          <w:numId w:val="21"/>
        </w:numPr>
        <w:tabs>
          <w:tab w:val="clear" w:pos="720"/>
          <w:tab w:val="num" w:pos="360"/>
        </w:tabs>
        <w:spacing w:line="240" w:lineRule="auto"/>
        <w:ind w:left="360"/>
        <w:rPr>
          <w:rFonts w:cs="Arial"/>
          <w:kern w:val="0"/>
          <w:sz w:val="20"/>
          <w:szCs w:val="20"/>
          <w:lang w:eastAsia="en-US"/>
        </w:rPr>
      </w:pPr>
      <w:r w:rsidRPr="00C67AE3">
        <w:rPr>
          <w:rFonts w:cs="Arial"/>
          <w:kern w:val="0"/>
          <w:sz w:val="20"/>
          <w:szCs w:val="20"/>
          <w:lang w:eastAsia="en-US"/>
        </w:rPr>
        <w:t xml:space="preserve">A separate procedure is in place to resolve appeals from individuals or their authorised representatives. The procedure described below cannot be used to make an appeal on the individual’s behalf. </w:t>
      </w:r>
    </w:p>
    <w:p w14:paraId="774EC124" w14:textId="77777777" w:rsidR="00837547" w:rsidRPr="00C67AE3" w:rsidRDefault="00837547" w:rsidP="00837547">
      <w:pPr>
        <w:spacing w:line="240" w:lineRule="auto"/>
        <w:rPr>
          <w:rFonts w:cs="Arial"/>
          <w:kern w:val="0"/>
          <w:sz w:val="20"/>
          <w:szCs w:val="20"/>
          <w:lang w:eastAsia="en-US"/>
        </w:rPr>
      </w:pPr>
    </w:p>
    <w:p w14:paraId="235476F8" w14:textId="77777777" w:rsidR="00837547" w:rsidRPr="00C67AE3" w:rsidRDefault="00837547" w:rsidP="00837547">
      <w:pPr>
        <w:numPr>
          <w:ilvl w:val="0"/>
          <w:numId w:val="21"/>
        </w:numPr>
        <w:tabs>
          <w:tab w:val="clear" w:pos="720"/>
          <w:tab w:val="num" w:pos="360"/>
        </w:tabs>
        <w:spacing w:line="240" w:lineRule="auto"/>
        <w:ind w:left="360"/>
        <w:rPr>
          <w:rFonts w:cs="Arial"/>
          <w:kern w:val="0"/>
          <w:sz w:val="20"/>
          <w:szCs w:val="20"/>
          <w:lang w:eastAsia="en-US"/>
        </w:rPr>
      </w:pPr>
      <w:r w:rsidRPr="00C67AE3">
        <w:rPr>
          <w:rFonts w:cs="Arial"/>
          <w:kern w:val="0"/>
          <w:sz w:val="20"/>
          <w:szCs w:val="20"/>
          <w:lang w:eastAsia="en-US"/>
        </w:rPr>
        <w:t>If an appeal is lodged by the individual at the same time or subsequent to a dispute registered by the Local Authority, the appeal by the individual will take precedence and will follow the Appeals Procedure to its conclusion</w:t>
      </w:r>
    </w:p>
    <w:p w14:paraId="7A64D4E4" w14:textId="77777777" w:rsidR="00837547" w:rsidRPr="00C67AE3" w:rsidRDefault="00837547" w:rsidP="00837547">
      <w:pPr>
        <w:spacing w:line="240" w:lineRule="auto"/>
        <w:rPr>
          <w:rFonts w:cs="Arial"/>
          <w:kern w:val="0"/>
          <w:sz w:val="20"/>
          <w:szCs w:val="20"/>
          <w:lang w:eastAsia="en-US"/>
        </w:rPr>
      </w:pPr>
    </w:p>
    <w:p w14:paraId="09483601" w14:textId="77777777" w:rsidR="00837547" w:rsidRPr="00C67AE3" w:rsidRDefault="00837547" w:rsidP="00837547">
      <w:pPr>
        <w:numPr>
          <w:ilvl w:val="0"/>
          <w:numId w:val="21"/>
        </w:numPr>
        <w:tabs>
          <w:tab w:val="clear" w:pos="720"/>
          <w:tab w:val="num" w:pos="360"/>
        </w:tabs>
        <w:spacing w:line="240" w:lineRule="auto"/>
        <w:ind w:left="360"/>
        <w:rPr>
          <w:rFonts w:cs="Arial"/>
          <w:kern w:val="0"/>
          <w:sz w:val="20"/>
          <w:szCs w:val="20"/>
          <w:lang w:eastAsia="en-US"/>
        </w:rPr>
      </w:pPr>
      <w:r w:rsidRPr="00C67AE3">
        <w:rPr>
          <w:rFonts w:cs="Arial"/>
          <w:kern w:val="0"/>
          <w:sz w:val="20"/>
          <w:szCs w:val="20"/>
          <w:lang w:eastAsia="en-US"/>
        </w:rPr>
        <w:t>The key obj</w:t>
      </w:r>
      <w:r w:rsidR="00697B9F">
        <w:rPr>
          <w:rFonts w:cs="Arial"/>
          <w:kern w:val="0"/>
          <w:sz w:val="20"/>
          <w:szCs w:val="20"/>
          <w:lang w:eastAsia="en-US"/>
        </w:rPr>
        <w:t xml:space="preserve">ective of both the CCG and the Local </w:t>
      </w:r>
      <w:r w:rsidRPr="00C67AE3">
        <w:rPr>
          <w:rFonts w:cs="Arial"/>
          <w:kern w:val="0"/>
          <w:sz w:val="20"/>
          <w:szCs w:val="20"/>
          <w:lang w:eastAsia="en-US"/>
        </w:rPr>
        <w:t>A</w:t>
      </w:r>
      <w:r w:rsidR="00697B9F">
        <w:rPr>
          <w:rFonts w:cs="Arial"/>
          <w:kern w:val="0"/>
          <w:sz w:val="20"/>
          <w:szCs w:val="20"/>
          <w:lang w:eastAsia="en-US"/>
        </w:rPr>
        <w:t>uthority</w:t>
      </w:r>
      <w:r w:rsidRPr="00C67AE3">
        <w:rPr>
          <w:rFonts w:cs="Arial"/>
          <w:kern w:val="0"/>
          <w:sz w:val="20"/>
          <w:szCs w:val="20"/>
          <w:lang w:eastAsia="en-US"/>
        </w:rPr>
        <w:t xml:space="preserve"> is to ensure that an individual’s eligibility for NHS Continuing Health Care is correctly determined based on the assessment of their care needs</w:t>
      </w:r>
    </w:p>
    <w:p w14:paraId="324C6B8D" w14:textId="77777777" w:rsidR="00837547" w:rsidRPr="00C67AE3" w:rsidRDefault="00837547" w:rsidP="00837547">
      <w:pPr>
        <w:spacing w:line="240" w:lineRule="auto"/>
        <w:rPr>
          <w:rFonts w:cs="Arial"/>
          <w:kern w:val="0"/>
          <w:sz w:val="20"/>
          <w:szCs w:val="20"/>
          <w:lang w:eastAsia="en-US"/>
        </w:rPr>
      </w:pPr>
    </w:p>
    <w:p w14:paraId="38C6D9FD" w14:textId="77777777" w:rsidR="00837547" w:rsidRPr="00C67AE3" w:rsidRDefault="00837547" w:rsidP="00697B9F">
      <w:pPr>
        <w:spacing w:line="240" w:lineRule="auto"/>
        <w:jc w:val="left"/>
        <w:rPr>
          <w:rFonts w:cs="Arial"/>
          <w:b/>
          <w:kern w:val="0"/>
          <w:sz w:val="20"/>
          <w:szCs w:val="20"/>
          <w:lang w:eastAsia="en-US"/>
        </w:rPr>
      </w:pPr>
      <w:r w:rsidRPr="00C67AE3">
        <w:rPr>
          <w:rFonts w:cs="Arial"/>
          <w:b/>
          <w:kern w:val="0"/>
          <w:sz w:val="20"/>
          <w:szCs w:val="20"/>
          <w:lang w:eastAsia="en-US"/>
        </w:rPr>
        <w:t>Key Principles</w:t>
      </w:r>
    </w:p>
    <w:p w14:paraId="3FA5899D" w14:textId="77777777" w:rsidR="00837547" w:rsidRPr="00C67AE3" w:rsidRDefault="00837547" w:rsidP="00837547">
      <w:pPr>
        <w:spacing w:line="240" w:lineRule="auto"/>
        <w:jc w:val="left"/>
        <w:rPr>
          <w:rFonts w:cs="Arial"/>
          <w:kern w:val="0"/>
          <w:sz w:val="20"/>
          <w:szCs w:val="20"/>
          <w:lang w:eastAsia="en-US"/>
        </w:rPr>
      </w:pPr>
    </w:p>
    <w:p w14:paraId="4C9D298C" w14:textId="77777777" w:rsidR="00837547" w:rsidRPr="00C67AE3" w:rsidRDefault="00697B9F" w:rsidP="00697B9F">
      <w:pPr>
        <w:spacing w:line="240" w:lineRule="auto"/>
        <w:jc w:val="left"/>
        <w:rPr>
          <w:rFonts w:cs="Arial"/>
          <w:kern w:val="0"/>
          <w:sz w:val="20"/>
          <w:szCs w:val="20"/>
          <w:lang w:eastAsia="en-US"/>
        </w:rPr>
      </w:pPr>
      <w:r>
        <w:rPr>
          <w:rFonts w:cs="Arial"/>
          <w:kern w:val="0"/>
          <w:sz w:val="20"/>
          <w:szCs w:val="20"/>
          <w:lang w:eastAsia="en-US"/>
        </w:rPr>
        <w:t xml:space="preserve">5.   </w:t>
      </w:r>
      <w:r w:rsidR="00837547" w:rsidRPr="00C67AE3">
        <w:rPr>
          <w:rFonts w:cs="Arial"/>
          <w:kern w:val="0"/>
          <w:sz w:val="20"/>
          <w:szCs w:val="20"/>
          <w:lang w:eastAsia="en-US"/>
        </w:rPr>
        <w:t>The following principles apply:-</w:t>
      </w:r>
    </w:p>
    <w:p w14:paraId="444FADB6" w14:textId="77777777" w:rsidR="00837547" w:rsidRPr="00C67AE3" w:rsidRDefault="00837547" w:rsidP="00837547">
      <w:pPr>
        <w:spacing w:line="240" w:lineRule="auto"/>
        <w:rPr>
          <w:rFonts w:cs="Arial"/>
          <w:kern w:val="0"/>
          <w:sz w:val="20"/>
          <w:szCs w:val="20"/>
          <w:lang w:eastAsia="en-US"/>
        </w:rPr>
      </w:pPr>
    </w:p>
    <w:p w14:paraId="3FC7EE64" w14:textId="77777777" w:rsidR="00837547" w:rsidRPr="00C67AE3" w:rsidRDefault="00837547" w:rsidP="00697B9F">
      <w:pPr>
        <w:numPr>
          <w:ilvl w:val="0"/>
          <w:numId w:val="22"/>
        </w:numPr>
        <w:spacing w:line="240" w:lineRule="auto"/>
        <w:rPr>
          <w:rFonts w:cs="Arial"/>
          <w:kern w:val="0"/>
          <w:sz w:val="20"/>
          <w:szCs w:val="20"/>
          <w:lang w:eastAsia="en-US"/>
        </w:rPr>
      </w:pPr>
      <w:r w:rsidRPr="00C67AE3">
        <w:rPr>
          <w:rFonts w:cs="Arial"/>
          <w:kern w:val="0"/>
          <w:sz w:val="20"/>
          <w:szCs w:val="20"/>
          <w:lang w:eastAsia="en-US"/>
        </w:rPr>
        <w:t>The development of a culture of problem solving and partnership</w:t>
      </w:r>
    </w:p>
    <w:p w14:paraId="741152E8" w14:textId="77777777" w:rsidR="00837547" w:rsidRPr="00C67AE3" w:rsidRDefault="00837547" w:rsidP="00697B9F">
      <w:pPr>
        <w:numPr>
          <w:ilvl w:val="0"/>
          <w:numId w:val="22"/>
        </w:numPr>
        <w:spacing w:line="240" w:lineRule="auto"/>
        <w:rPr>
          <w:rFonts w:cs="Arial"/>
          <w:kern w:val="0"/>
          <w:sz w:val="20"/>
          <w:szCs w:val="20"/>
          <w:lang w:eastAsia="en-US"/>
        </w:rPr>
      </w:pPr>
      <w:r w:rsidRPr="00C67AE3">
        <w:rPr>
          <w:rFonts w:cs="Arial"/>
          <w:kern w:val="0"/>
          <w:sz w:val="20"/>
          <w:szCs w:val="20"/>
          <w:lang w:eastAsia="en-US"/>
        </w:rPr>
        <w:t>Formal disputes should be the last resort and should seldom be necessary</w:t>
      </w:r>
    </w:p>
    <w:p w14:paraId="57A693A7" w14:textId="77777777" w:rsidR="00837547" w:rsidRPr="00C67AE3" w:rsidRDefault="00837547" w:rsidP="00697B9F">
      <w:pPr>
        <w:numPr>
          <w:ilvl w:val="0"/>
          <w:numId w:val="22"/>
        </w:numPr>
        <w:spacing w:line="240" w:lineRule="auto"/>
        <w:rPr>
          <w:rFonts w:cs="Arial"/>
          <w:kern w:val="0"/>
          <w:sz w:val="20"/>
          <w:szCs w:val="20"/>
          <w:lang w:eastAsia="en-US"/>
        </w:rPr>
      </w:pPr>
      <w:r w:rsidRPr="00C67AE3">
        <w:rPr>
          <w:rFonts w:cs="Arial"/>
          <w:kern w:val="0"/>
          <w:sz w:val="20"/>
          <w:szCs w:val="20"/>
          <w:lang w:eastAsia="en-US"/>
        </w:rPr>
        <w:t>Operational staff at MDT level should endeavour to resolve issues at the frontline wherever possible and should not be encouraged by either party to elevate the decision making to more senior people with less knowledge and understanding about the individual’s care needs.</w:t>
      </w:r>
    </w:p>
    <w:p w14:paraId="2C7B53CC" w14:textId="77777777" w:rsidR="00837547" w:rsidRPr="00C67AE3" w:rsidRDefault="00837547" w:rsidP="00697B9F">
      <w:pPr>
        <w:numPr>
          <w:ilvl w:val="0"/>
          <w:numId w:val="22"/>
        </w:numPr>
        <w:spacing w:line="240" w:lineRule="auto"/>
        <w:rPr>
          <w:rFonts w:cs="Arial"/>
          <w:kern w:val="0"/>
          <w:sz w:val="20"/>
          <w:szCs w:val="20"/>
          <w:lang w:eastAsia="en-US"/>
        </w:rPr>
      </w:pPr>
      <w:r w:rsidRPr="00C67AE3">
        <w:rPr>
          <w:rFonts w:cs="Arial"/>
          <w:kern w:val="0"/>
          <w:sz w:val="20"/>
          <w:szCs w:val="20"/>
          <w:lang w:eastAsia="en-US"/>
        </w:rPr>
        <w:t>When they are unable to reach an agreement, operational staff will have timely and ready access to senior managers who are expected to agree a resolution of the issue with their counterparts</w:t>
      </w:r>
    </w:p>
    <w:p w14:paraId="124A82B1" w14:textId="77777777" w:rsidR="00837547" w:rsidRPr="00C67AE3" w:rsidRDefault="00837547" w:rsidP="00697B9F">
      <w:pPr>
        <w:numPr>
          <w:ilvl w:val="0"/>
          <w:numId w:val="22"/>
        </w:numPr>
        <w:spacing w:line="240" w:lineRule="auto"/>
        <w:rPr>
          <w:rFonts w:cs="Arial"/>
          <w:kern w:val="0"/>
          <w:sz w:val="20"/>
          <w:szCs w:val="20"/>
          <w:lang w:eastAsia="en-US"/>
        </w:rPr>
      </w:pPr>
      <w:r w:rsidRPr="00C67AE3">
        <w:rPr>
          <w:rFonts w:cs="Arial"/>
          <w:kern w:val="0"/>
          <w:sz w:val="20"/>
          <w:szCs w:val="20"/>
          <w:lang w:eastAsia="en-US"/>
        </w:rPr>
        <w:t>The patient should not be informed of or become involved in the dispute in any way. In such cases they should be informed of the CCG’s decision on eligibility in the normal way, giving them the opportunity to appeal if they wish to</w:t>
      </w:r>
    </w:p>
    <w:p w14:paraId="4F848203" w14:textId="77777777" w:rsidR="00837547" w:rsidRPr="00C67AE3" w:rsidRDefault="00837547" w:rsidP="00697B9F">
      <w:pPr>
        <w:numPr>
          <w:ilvl w:val="0"/>
          <w:numId w:val="22"/>
        </w:numPr>
        <w:spacing w:line="240" w:lineRule="auto"/>
        <w:rPr>
          <w:rFonts w:cs="Arial"/>
          <w:kern w:val="0"/>
          <w:sz w:val="20"/>
          <w:szCs w:val="20"/>
          <w:lang w:eastAsia="en-US"/>
        </w:rPr>
      </w:pPr>
      <w:r w:rsidRPr="00C67AE3">
        <w:rPr>
          <w:rFonts w:cs="Arial"/>
          <w:kern w:val="0"/>
          <w:sz w:val="20"/>
          <w:szCs w:val="20"/>
          <w:lang w:eastAsia="en-US"/>
        </w:rPr>
        <w:t>Patients should always be cared for in an appropriate environment throughout the process</w:t>
      </w:r>
    </w:p>
    <w:p w14:paraId="297C9265" w14:textId="77777777" w:rsidR="00344DB1" w:rsidRDefault="00344DB1" w:rsidP="00344DB1">
      <w:pPr>
        <w:spacing w:line="240" w:lineRule="auto"/>
        <w:rPr>
          <w:rFonts w:cs="Arial"/>
          <w:kern w:val="0"/>
          <w:sz w:val="20"/>
          <w:szCs w:val="20"/>
          <w:lang w:eastAsia="en-US"/>
        </w:rPr>
      </w:pPr>
    </w:p>
    <w:p w14:paraId="2B08F659" w14:textId="77777777" w:rsidR="00837547" w:rsidRPr="00C67AE3" w:rsidRDefault="00837547" w:rsidP="00344DB1">
      <w:pPr>
        <w:spacing w:line="240" w:lineRule="auto"/>
        <w:rPr>
          <w:rFonts w:cs="Arial"/>
          <w:b/>
          <w:kern w:val="0"/>
          <w:sz w:val="20"/>
          <w:szCs w:val="20"/>
          <w:lang w:eastAsia="en-US"/>
        </w:rPr>
      </w:pPr>
      <w:r w:rsidRPr="00C67AE3">
        <w:rPr>
          <w:rFonts w:cs="Arial"/>
          <w:b/>
          <w:kern w:val="0"/>
          <w:sz w:val="20"/>
          <w:szCs w:val="20"/>
          <w:lang w:eastAsia="en-US"/>
        </w:rPr>
        <w:t>The disputes process</w:t>
      </w:r>
    </w:p>
    <w:p w14:paraId="11DF7D04" w14:textId="77777777" w:rsidR="00837547" w:rsidRPr="00C67AE3" w:rsidRDefault="00837547" w:rsidP="00837547">
      <w:pPr>
        <w:spacing w:line="240" w:lineRule="auto"/>
        <w:jc w:val="left"/>
        <w:rPr>
          <w:rFonts w:cs="Arial"/>
          <w:kern w:val="0"/>
          <w:sz w:val="20"/>
          <w:szCs w:val="20"/>
          <w:lang w:eastAsia="en-US"/>
        </w:rPr>
      </w:pPr>
    </w:p>
    <w:p w14:paraId="45CBBD46" w14:textId="77777777" w:rsidR="00837547" w:rsidRPr="00C67AE3" w:rsidRDefault="00344DB1" w:rsidP="00344DB1">
      <w:pPr>
        <w:tabs>
          <w:tab w:val="left" w:pos="360"/>
        </w:tabs>
        <w:spacing w:line="240" w:lineRule="auto"/>
        <w:ind w:left="357" w:hanging="357"/>
        <w:rPr>
          <w:rFonts w:cs="Arial"/>
          <w:kern w:val="0"/>
          <w:sz w:val="20"/>
          <w:szCs w:val="20"/>
          <w:lang w:eastAsia="en-US"/>
        </w:rPr>
      </w:pPr>
      <w:r>
        <w:rPr>
          <w:rFonts w:cs="Arial"/>
          <w:kern w:val="0"/>
          <w:sz w:val="20"/>
          <w:szCs w:val="20"/>
          <w:lang w:eastAsia="en-US"/>
        </w:rPr>
        <w:t>6</w:t>
      </w:r>
      <w:r w:rsidR="00837547" w:rsidRPr="00C67AE3">
        <w:rPr>
          <w:rFonts w:cs="Arial"/>
          <w:kern w:val="0"/>
          <w:sz w:val="20"/>
          <w:szCs w:val="20"/>
          <w:lang w:eastAsia="en-US"/>
        </w:rPr>
        <w:t>.</w:t>
      </w:r>
      <w:r w:rsidR="00837547" w:rsidRPr="00C67AE3">
        <w:rPr>
          <w:rFonts w:cs="Arial"/>
          <w:kern w:val="0"/>
          <w:sz w:val="20"/>
          <w:szCs w:val="20"/>
          <w:lang w:eastAsia="en-US"/>
        </w:rPr>
        <w:tab/>
        <w:t>The process of considering and deciding eligibility for NHS Continuing Care must not delay treatment or appropriate care being put in place. The agreed arrangements therefore are based on the following principles:-</w:t>
      </w:r>
    </w:p>
    <w:p w14:paraId="3428F076" w14:textId="77777777" w:rsidR="00837547" w:rsidRPr="00C67AE3" w:rsidRDefault="00837547" w:rsidP="00344DB1">
      <w:pPr>
        <w:spacing w:line="240" w:lineRule="auto"/>
        <w:jc w:val="left"/>
        <w:rPr>
          <w:rFonts w:cs="Arial"/>
          <w:kern w:val="0"/>
          <w:sz w:val="20"/>
          <w:szCs w:val="20"/>
          <w:lang w:eastAsia="en-US"/>
        </w:rPr>
      </w:pPr>
    </w:p>
    <w:p w14:paraId="219DA407" w14:textId="77777777" w:rsidR="00837547" w:rsidRPr="00344DB1" w:rsidRDefault="00837547" w:rsidP="00344DB1">
      <w:pPr>
        <w:numPr>
          <w:ilvl w:val="0"/>
          <w:numId w:val="22"/>
        </w:numPr>
        <w:spacing w:line="240" w:lineRule="auto"/>
        <w:rPr>
          <w:rFonts w:cs="Arial"/>
          <w:kern w:val="0"/>
          <w:sz w:val="20"/>
          <w:szCs w:val="20"/>
          <w:lang w:eastAsia="en-US"/>
        </w:rPr>
      </w:pPr>
      <w:r w:rsidRPr="00C67AE3">
        <w:rPr>
          <w:rFonts w:cs="Arial"/>
          <w:kern w:val="0"/>
          <w:sz w:val="20"/>
          <w:szCs w:val="20"/>
          <w:lang w:eastAsia="en-US"/>
        </w:rPr>
        <w:t>Neither the CCG nor L</w:t>
      </w:r>
      <w:r w:rsidR="00344DB1">
        <w:rPr>
          <w:rFonts w:cs="Arial"/>
          <w:kern w:val="0"/>
          <w:sz w:val="20"/>
          <w:szCs w:val="20"/>
          <w:lang w:eastAsia="en-US"/>
        </w:rPr>
        <w:t xml:space="preserve">ocal </w:t>
      </w:r>
      <w:r w:rsidRPr="00C67AE3">
        <w:rPr>
          <w:rFonts w:cs="Arial"/>
          <w:kern w:val="0"/>
          <w:sz w:val="20"/>
          <w:szCs w:val="20"/>
          <w:lang w:eastAsia="en-US"/>
        </w:rPr>
        <w:t>A</w:t>
      </w:r>
      <w:r w:rsidR="00344DB1">
        <w:rPr>
          <w:rFonts w:cs="Arial"/>
          <w:kern w:val="0"/>
          <w:sz w:val="20"/>
          <w:szCs w:val="20"/>
          <w:lang w:eastAsia="en-US"/>
        </w:rPr>
        <w:t>uthority</w:t>
      </w:r>
      <w:r w:rsidRPr="00C67AE3">
        <w:rPr>
          <w:rFonts w:cs="Arial"/>
          <w:kern w:val="0"/>
          <w:sz w:val="20"/>
          <w:szCs w:val="20"/>
          <w:lang w:eastAsia="en-US"/>
        </w:rPr>
        <w:t xml:space="preserve"> will unilaterally withdraw from funding an existing package.</w:t>
      </w:r>
    </w:p>
    <w:p w14:paraId="37AA6D1F" w14:textId="77777777" w:rsidR="00837547" w:rsidRPr="00344DB1" w:rsidRDefault="00837547" w:rsidP="00344DB1">
      <w:pPr>
        <w:numPr>
          <w:ilvl w:val="0"/>
          <w:numId w:val="22"/>
        </w:numPr>
        <w:spacing w:line="240" w:lineRule="auto"/>
        <w:rPr>
          <w:rFonts w:cs="Arial"/>
          <w:kern w:val="0"/>
          <w:sz w:val="20"/>
          <w:szCs w:val="20"/>
          <w:lang w:eastAsia="en-US"/>
        </w:rPr>
      </w:pPr>
      <w:r w:rsidRPr="00C67AE3">
        <w:rPr>
          <w:rFonts w:cs="Arial"/>
          <w:kern w:val="0"/>
          <w:sz w:val="20"/>
          <w:szCs w:val="20"/>
          <w:lang w:eastAsia="en-US"/>
        </w:rPr>
        <w:t>The patient will be discharged from hospital as soon as they are ready (home, nursing/residential care etc.)</w:t>
      </w:r>
    </w:p>
    <w:p w14:paraId="20290A2B" w14:textId="77777777" w:rsidR="00837547" w:rsidRPr="00C67AE3" w:rsidRDefault="00837547" w:rsidP="00344DB1">
      <w:pPr>
        <w:numPr>
          <w:ilvl w:val="0"/>
          <w:numId w:val="22"/>
        </w:numPr>
        <w:spacing w:line="240" w:lineRule="auto"/>
        <w:rPr>
          <w:rFonts w:cs="Arial"/>
          <w:kern w:val="0"/>
          <w:sz w:val="20"/>
          <w:szCs w:val="20"/>
          <w:lang w:eastAsia="en-US"/>
        </w:rPr>
      </w:pPr>
      <w:r w:rsidRPr="00C67AE3">
        <w:rPr>
          <w:rFonts w:cs="Arial"/>
          <w:kern w:val="0"/>
          <w:sz w:val="20"/>
          <w:szCs w:val="20"/>
          <w:lang w:eastAsia="en-US"/>
        </w:rPr>
        <w:t>The L</w:t>
      </w:r>
      <w:r w:rsidR="00344DB1">
        <w:rPr>
          <w:rFonts w:cs="Arial"/>
          <w:kern w:val="0"/>
          <w:sz w:val="20"/>
          <w:szCs w:val="20"/>
          <w:lang w:eastAsia="en-US"/>
        </w:rPr>
        <w:t xml:space="preserve">ocal </w:t>
      </w:r>
      <w:r w:rsidRPr="00C67AE3">
        <w:rPr>
          <w:rFonts w:cs="Arial"/>
          <w:kern w:val="0"/>
          <w:sz w:val="20"/>
          <w:szCs w:val="20"/>
          <w:lang w:eastAsia="en-US"/>
        </w:rPr>
        <w:t>A</w:t>
      </w:r>
      <w:r w:rsidR="00344DB1">
        <w:rPr>
          <w:rFonts w:cs="Arial"/>
          <w:kern w:val="0"/>
          <w:sz w:val="20"/>
          <w:szCs w:val="20"/>
          <w:lang w:eastAsia="en-US"/>
        </w:rPr>
        <w:t>uthority</w:t>
      </w:r>
      <w:r w:rsidRPr="00C67AE3">
        <w:rPr>
          <w:rFonts w:cs="Arial"/>
          <w:kern w:val="0"/>
          <w:sz w:val="20"/>
          <w:szCs w:val="20"/>
          <w:lang w:eastAsia="en-US"/>
        </w:rPr>
        <w:t xml:space="preserve"> and CCG will work together to agree case management arrangements to ensure the patient continues to receive the best possible care.</w:t>
      </w:r>
    </w:p>
    <w:p w14:paraId="6177C72C" w14:textId="77777777" w:rsidR="00837547" w:rsidRPr="00C67AE3" w:rsidRDefault="00837547" w:rsidP="00344DB1">
      <w:pPr>
        <w:spacing w:line="240" w:lineRule="auto"/>
        <w:ind w:left="720"/>
        <w:jc w:val="left"/>
        <w:rPr>
          <w:rFonts w:cs="Arial"/>
          <w:kern w:val="0"/>
          <w:sz w:val="20"/>
          <w:szCs w:val="20"/>
          <w:lang w:eastAsia="en-US"/>
        </w:rPr>
      </w:pPr>
    </w:p>
    <w:p w14:paraId="4B20BBA0" w14:textId="77777777" w:rsidR="00837547" w:rsidRPr="00344DB1" w:rsidRDefault="00837547" w:rsidP="00344DB1">
      <w:pPr>
        <w:numPr>
          <w:ilvl w:val="0"/>
          <w:numId w:val="22"/>
        </w:numPr>
        <w:spacing w:line="240" w:lineRule="auto"/>
        <w:rPr>
          <w:rFonts w:cs="Arial"/>
          <w:kern w:val="0"/>
          <w:sz w:val="20"/>
          <w:szCs w:val="20"/>
          <w:lang w:eastAsia="en-US"/>
        </w:rPr>
      </w:pPr>
      <w:r w:rsidRPr="00C67AE3">
        <w:rPr>
          <w:rFonts w:cs="Arial"/>
          <w:kern w:val="0"/>
          <w:sz w:val="20"/>
          <w:szCs w:val="20"/>
          <w:lang w:eastAsia="en-US"/>
        </w:rPr>
        <w:lastRenderedPageBreak/>
        <w:t>In the event of a dispute between the CCG and the L</w:t>
      </w:r>
      <w:r w:rsidR="00344DB1">
        <w:rPr>
          <w:rFonts w:cs="Arial"/>
          <w:kern w:val="0"/>
          <w:sz w:val="20"/>
          <w:szCs w:val="20"/>
          <w:lang w:eastAsia="en-US"/>
        </w:rPr>
        <w:t xml:space="preserve">ocal </w:t>
      </w:r>
      <w:r w:rsidRPr="00C67AE3">
        <w:rPr>
          <w:rFonts w:cs="Arial"/>
          <w:kern w:val="0"/>
          <w:sz w:val="20"/>
          <w:szCs w:val="20"/>
          <w:lang w:eastAsia="en-US"/>
        </w:rPr>
        <w:t>A</w:t>
      </w:r>
      <w:r w:rsidR="00344DB1">
        <w:rPr>
          <w:rFonts w:cs="Arial"/>
          <w:kern w:val="0"/>
          <w:sz w:val="20"/>
          <w:szCs w:val="20"/>
          <w:lang w:eastAsia="en-US"/>
        </w:rPr>
        <w:t>uthority</w:t>
      </w:r>
      <w:r w:rsidRPr="00344DB1">
        <w:rPr>
          <w:rFonts w:cs="Arial"/>
          <w:kern w:val="0"/>
          <w:sz w:val="20"/>
          <w:szCs w:val="20"/>
          <w:lang w:eastAsia="en-US"/>
        </w:rPr>
        <w:t xml:space="preserve">, the placement will be funded without prejudice to the final decision and reimbursement will be made as required from the date that the dispute was registered.  </w:t>
      </w:r>
    </w:p>
    <w:p w14:paraId="41CABE65" w14:textId="77777777" w:rsidR="00837547" w:rsidRPr="00344DB1" w:rsidRDefault="00837547" w:rsidP="00344DB1">
      <w:pPr>
        <w:numPr>
          <w:ilvl w:val="0"/>
          <w:numId w:val="22"/>
        </w:numPr>
        <w:spacing w:line="240" w:lineRule="auto"/>
        <w:rPr>
          <w:rFonts w:cs="Arial"/>
          <w:kern w:val="0"/>
          <w:sz w:val="20"/>
          <w:szCs w:val="20"/>
          <w:lang w:eastAsia="en-US"/>
        </w:rPr>
      </w:pPr>
      <w:r w:rsidRPr="00C67AE3">
        <w:rPr>
          <w:rFonts w:cs="Arial"/>
          <w:kern w:val="0"/>
          <w:sz w:val="20"/>
          <w:szCs w:val="20"/>
          <w:lang w:eastAsia="en-US"/>
        </w:rPr>
        <w:t>For disputed cases the placement / care package will be funded by:</w:t>
      </w:r>
    </w:p>
    <w:p w14:paraId="19F6F74B" w14:textId="77777777" w:rsidR="00837547" w:rsidRPr="00344DB1" w:rsidRDefault="00837547" w:rsidP="00344DB1">
      <w:pPr>
        <w:numPr>
          <w:ilvl w:val="1"/>
          <w:numId w:val="22"/>
        </w:numPr>
        <w:spacing w:line="240" w:lineRule="auto"/>
        <w:rPr>
          <w:rFonts w:cs="Arial"/>
          <w:kern w:val="0"/>
          <w:sz w:val="20"/>
          <w:szCs w:val="20"/>
          <w:lang w:eastAsia="en-US"/>
        </w:rPr>
      </w:pPr>
      <w:r w:rsidRPr="00C67AE3">
        <w:rPr>
          <w:rFonts w:cs="Arial"/>
          <w:kern w:val="0"/>
          <w:sz w:val="20"/>
          <w:szCs w:val="20"/>
          <w:lang w:eastAsia="en-US"/>
        </w:rPr>
        <w:t>the current funding body (e.g. if patient was funded by CCG as NHS Continuing Health Care before admission, the CCG would fund on discharge. Likewise for the L</w:t>
      </w:r>
      <w:r w:rsidR="00344DB1">
        <w:rPr>
          <w:rFonts w:cs="Arial"/>
          <w:kern w:val="0"/>
          <w:sz w:val="20"/>
          <w:szCs w:val="20"/>
          <w:lang w:eastAsia="en-US"/>
        </w:rPr>
        <w:t xml:space="preserve">ocal </w:t>
      </w:r>
      <w:r w:rsidRPr="00C67AE3">
        <w:rPr>
          <w:rFonts w:cs="Arial"/>
          <w:kern w:val="0"/>
          <w:sz w:val="20"/>
          <w:szCs w:val="20"/>
          <w:lang w:eastAsia="en-US"/>
        </w:rPr>
        <w:t>A</w:t>
      </w:r>
      <w:r w:rsidR="00344DB1">
        <w:rPr>
          <w:rFonts w:cs="Arial"/>
          <w:kern w:val="0"/>
          <w:sz w:val="20"/>
          <w:szCs w:val="20"/>
          <w:lang w:eastAsia="en-US"/>
        </w:rPr>
        <w:t>uthority</w:t>
      </w:r>
      <w:r w:rsidRPr="00C67AE3">
        <w:rPr>
          <w:rFonts w:cs="Arial"/>
          <w:kern w:val="0"/>
          <w:sz w:val="20"/>
          <w:szCs w:val="20"/>
          <w:lang w:eastAsia="en-US"/>
        </w:rPr>
        <w:t xml:space="preserve"> if a comparable package of care was funded by the L</w:t>
      </w:r>
      <w:r w:rsidR="00344DB1">
        <w:rPr>
          <w:rFonts w:cs="Arial"/>
          <w:kern w:val="0"/>
          <w:sz w:val="20"/>
          <w:szCs w:val="20"/>
          <w:lang w:eastAsia="en-US"/>
        </w:rPr>
        <w:t xml:space="preserve">ocal </w:t>
      </w:r>
      <w:r w:rsidRPr="00C67AE3">
        <w:rPr>
          <w:rFonts w:cs="Arial"/>
          <w:kern w:val="0"/>
          <w:sz w:val="20"/>
          <w:szCs w:val="20"/>
          <w:lang w:eastAsia="en-US"/>
        </w:rPr>
        <w:t>A</w:t>
      </w:r>
      <w:r w:rsidR="00344DB1">
        <w:rPr>
          <w:rFonts w:cs="Arial"/>
          <w:kern w:val="0"/>
          <w:sz w:val="20"/>
          <w:szCs w:val="20"/>
          <w:lang w:eastAsia="en-US"/>
        </w:rPr>
        <w:t>uthority</w:t>
      </w:r>
      <w:r w:rsidRPr="00C67AE3">
        <w:rPr>
          <w:rFonts w:cs="Arial"/>
          <w:kern w:val="0"/>
          <w:sz w:val="20"/>
          <w:szCs w:val="20"/>
          <w:lang w:eastAsia="en-US"/>
        </w:rPr>
        <w:t>).</w:t>
      </w:r>
    </w:p>
    <w:p w14:paraId="3279C07A" w14:textId="77777777" w:rsidR="00837547" w:rsidRPr="00344DB1" w:rsidRDefault="00837547" w:rsidP="00344DB1">
      <w:pPr>
        <w:numPr>
          <w:ilvl w:val="0"/>
          <w:numId w:val="22"/>
        </w:numPr>
        <w:spacing w:line="240" w:lineRule="auto"/>
        <w:rPr>
          <w:rFonts w:cs="Arial"/>
          <w:kern w:val="0"/>
          <w:sz w:val="20"/>
          <w:szCs w:val="20"/>
          <w:lang w:eastAsia="en-US"/>
        </w:rPr>
      </w:pPr>
      <w:r w:rsidRPr="00C67AE3">
        <w:rPr>
          <w:rFonts w:cs="Arial"/>
          <w:kern w:val="0"/>
          <w:sz w:val="20"/>
          <w:szCs w:val="20"/>
          <w:lang w:eastAsia="en-US"/>
        </w:rPr>
        <w:t>If there was no funding responsibility before admission or no comparable care package the CCG will fund on discharge for patients who require care in a nursing home and the LA will fund care at home or in residential care.</w:t>
      </w:r>
    </w:p>
    <w:p w14:paraId="03D9E60F" w14:textId="77777777" w:rsidR="00837547" w:rsidRPr="00344DB1" w:rsidRDefault="00837547" w:rsidP="00344DB1">
      <w:pPr>
        <w:numPr>
          <w:ilvl w:val="0"/>
          <w:numId w:val="22"/>
        </w:numPr>
        <w:spacing w:line="240" w:lineRule="auto"/>
        <w:rPr>
          <w:rFonts w:cs="Arial"/>
          <w:kern w:val="0"/>
          <w:sz w:val="20"/>
          <w:szCs w:val="20"/>
          <w:lang w:eastAsia="en-US"/>
        </w:rPr>
      </w:pPr>
      <w:r w:rsidRPr="00C67AE3">
        <w:rPr>
          <w:rFonts w:cs="Arial"/>
          <w:kern w:val="0"/>
          <w:sz w:val="20"/>
          <w:szCs w:val="20"/>
          <w:lang w:eastAsia="en-US"/>
        </w:rPr>
        <w:t xml:space="preserve">The LA will undertake a full Community Care Assessment for disputed cases and provide a copy of the assessment to the CCG </w:t>
      </w:r>
    </w:p>
    <w:p w14:paraId="595B89D7" w14:textId="77777777" w:rsidR="00837547" w:rsidRPr="00C67AE3" w:rsidRDefault="00837547" w:rsidP="00344DB1">
      <w:pPr>
        <w:numPr>
          <w:ilvl w:val="0"/>
          <w:numId w:val="22"/>
        </w:numPr>
        <w:spacing w:line="240" w:lineRule="auto"/>
        <w:rPr>
          <w:rFonts w:cs="Arial"/>
          <w:kern w:val="0"/>
          <w:sz w:val="20"/>
          <w:szCs w:val="20"/>
          <w:lang w:eastAsia="en-US"/>
        </w:rPr>
      </w:pPr>
      <w:r w:rsidRPr="00C67AE3">
        <w:rPr>
          <w:rFonts w:cs="Arial"/>
          <w:kern w:val="0"/>
          <w:sz w:val="20"/>
          <w:szCs w:val="20"/>
          <w:lang w:eastAsia="en-US"/>
        </w:rPr>
        <w:t>The LA must send a formal notice of dispute to the CCG setting out the reasons why it is considered that the assessment is incorrect or has not been applied to the criteria correctly</w:t>
      </w:r>
      <w:r w:rsidR="00344DB1">
        <w:rPr>
          <w:rFonts w:cs="Arial"/>
          <w:kern w:val="0"/>
          <w:sz w:val="20"/>
          <w:szCs w:val="20"/>
          <w:lang w:eastAsia="en-US"/>
        </w:rPr>
        <w:t>.</w:t>
      </w:r>
      <w:r w:rsidRPr="00C67AE3">
        <w:rPr>
          <w:rFonts w:cs="Arial"/>
          <w:kern w:val="0"/>
          <w:sz w:val="20"/>
          <w:szCs w:val="20"/>
          <w:lang w:eastAsia="en-US"/>
        </w:rPr>
        <w:t xml:space="preserve"> </w:t>
      </w:r>
    </w:p>
    <w:p w14:paraId="27C3E662" w14:textId="77777777" w:rsidR="00837547" w:rsidRPr="00C67AE3" w:rsidRDefault="00837547" w:rsidP="00344DB1">
      <w:pPr>
        <w:spacing w:line="240" w:lineRule="auto"/>
        <w:jc w:val="left"/>
        <w:rPr>
          <w:rFonts w:cs="Arial"/>
          <w:kern w:val="0"/>
          <w:sz w:val="20"/>
          <w:szCs w:val="20"/>
          <w:lang w:eastAsia="en-US"/>
        </w:rPr>
      </w:pPr>
    </w:p>
    <w:p w14:paraId="2169F8F2" w14:textId="77777777" w:rsidR="00837547" w:rsidRPr="00C67AE3" w:rsidRDefault="00837547" w:rsidP="00344DB1">
      <w:pPr>
        <w:spacing w:line="240" w:lineRule="auto"/>
        <w:jc w:val="left"/>
        <w:rPr>
          <w:rFonts w:cs="Arial"/>
          <w:b/>
          <w:kern w:val="0"/>
          <w:sz w:val="20"/>
          <w:szCs w:val="20"/>
          <w:lang w:eastAsia="en-US"/>
        </w:rPr>
      </w:pPr>
      <w:r w:rsidRPr="00C67AE3">
        <w:rPr>
          <w:rFonts w:cs="Arial"/>
          <w:b/>
          <w:kern w:val="0"/>
          <w:sz w:val="20"/>
          <w:szCs w:val="20"/>
          <w:lang w:eastAsia="en-US"/>
        </w:rPr>
        <w:t>Dispute Panel Arrangements</w:t>
      </w:r>
      <w:r w:rsidRPr="00C67AE3">
        <w:rPr>
          <w:rFonts w:cs="Arial"/>
          <w:b/>
          <w:kern w:val="0"/>
          <w:sz w:val="20"/>
          <w:szCs w:val="20"/>
          <w:lang w:eastAsia="en-US"/>
        </w:rPr>
        <w:tab/>
      </w:r>
    </w:p>
    <w:p w14:paraId="7980305B" w14:textId="77777777" w:rsidR="00837547" w:rsidRPr="00C67AE3" w:rsidRDefault="00837547" w:rsidP="00E15FDF">
      <w:pPr>
        <w:spacing w:line="120" w:lineRule="auto"/>
        <w:ind w:left="357"/>
        <w:jc w:val="left"/>
        <w:rPr>
          <w:rFonts w:cs="Arial"/>
          <w:kern w:val="0"/>
          <w:sz w:val="20"/>
          <w:szCs w:val="20"/>
          <w:lang w:eastAsia="en-US"/>
        </w:rPr>
      </w:pPr>
    </w:p>
    <w:p w14:paraId="45CC0819" w14:textId="77777777" w:rsidR="00837547" w:rsidRPr="00C67AE3" w:rsidRDefault="00837547" w:rsidP="00344DB1">
      <w:pPr>
        <w:numPr>
          <w:ilvl w:val="0"/>
          <w:numId w:val="24"/>
        </w:numPr>
        <w:tabs>
          <w:tab w:val="clear" w:pos="644"/>
          <w:tab w:val="num" w:pos="360"/>
        </w:tabs>
        <w:spacing w:line="240" w:lineRule="auto"/>
        <w:ind w:left="360"/>
        <w:jc w:val="left"/>
        <w:rPr>
          <w:rFonts w:cs="Arial"/>
          <w:kern w:val="0"/>
          <w:sz w:val="20"/>
          <w:szCs w:val="20"/>
          <w:lang w:eastAsia="en-US"/>
        </w:rPr>
      </w:pPr>
      <w:r w:rsidRPr="00C67AE3">
        <w:rPr>
          <w:rFonts w:cs="Arial"/>
          <w:kern w:val="0"/>
          <w:sz w:val="20"/>
          <w:szCs w:val="20"/>
          <w:lang w:eastAsia="en-US"/>
        </w:rPr>
        <w:t xml:space="preserve">The arrangement for resolving disputes should be on an exceptional basis. Every effort should be made for the dispute to be resolved by discussion between the CCG Assessment Complex Case nurse, Social Worker and other MDT members who have direct knowledge of the patient and are conversant with his/ her care needs. </w:t>
      </w:r>
    </w:p>
    <w:p w14:paraId="3F5F766E" w14:textId="77777777" w:rsidR="00837547" w:rsidRPr="00C67AE3" w:rsidRDefault="00837547" w:rsidP="00E15FDF">
      <w:pPr>
        <w:spacing w:line="120" w:lineRule="auto"/>
        <w:ind w:left="357"/>
        <w:jc w:val="left"/>
        <w:rPr>
          <w:rFonts w:cs="Arial"/>
          <w:kern w:val="0"/>
          <w:sz w:val="20"/>
          <w:szCs w:val="20"/>
          <w:lang w:eastAsia="en-US"/>
        </w:rPr>
      </w:pPr>
    </w:p>
    <w:p w14:paraId="4C4F4183" w14:textId="77777777" w:rsidR="00837547" w:rsidRPr="00C67AE3" w:rsidRDefault="00837547" w:rsidP="00344DB1">
      <w:pPr>
        <w:numPr>
          <w:ilvl w:val="0"/>
          <w:numId w:val="24"/>
        </w:numPr>
        <w:tabs>
          <w:tab w:val="clear" w:pos="644"/>
          <w:tab w:val="num" w:pos="360"/>
        </w:tabs>
        <w:spacing w:line="240" w:lineRule="auto"/>
        <w:ind w:left="360"/>
        <w:jc w:val="left"/>
        <w:rPr>
          <w:rFonts w:cs="Arial"/>
          <w:kern w:val="0"/>
          <w:sz w:val="20"/>
          <w:szCs w:val="20"/>
          <w:lang w:eastAsia="en-US"/>
        </w:rPr>
      </w:pPr>
      <w:r w:rsidRPr="00C67AE3">
        <w:rPr>
          <w:rFonts w:cs="Arial"/>
          <w:kern w:val="0"/>
          <w:sz w:val="20"/>
          <w:szCs w:val="20"/>
          <w:lang w:eastAsia="en-US"/>
        </w:rPr>
        <w:t>The dispute process must not delay discharge of a patient if a care package is ready prior to the dispute being resolved.</w:t>
      </w:r>
    </w:p>
    <w:p w14:paraId="1791197B" w14:textId="77777777" w:rsidR="00837547" w:rsidRPr="00C67AE3" w:rsidRDefault="00837547" w:rsidP="00E15FDF">
      <w:pPr>
        <w:spacing w:line="120" w:lineRule="auto"/>
        <w:ind w:left="357"/>
        <w:jc w:val="left"/>
        <w:rPr>
          <w:rFonts w:cs="Arial"/>
          <w:kern w:val="0"/>
          <w:sz w:val="20"/>
          <w:szCs w:val="20"/>
          <w:lang w:eastAsia="en-US"/>
        </w:rPr>
      </w:pPr>
    </w:p>
    <w:p w14:paraId="348B43D3" w14:textId="55F4BE71" w:rsidR="00837547" w:rsidRDefault="00837547" w:rsidP="00344DB1">
      <w:pPr>
        <w:numPr>
          <w:ilvl w:val="0"/>
          <w:numId w:val="24"/>
        </w:numPr>
        <w:tabs>
          <w:tab w:val="clear" w:pos="644"/>
          <w:tab w:val="num" w:pos="360"/>
        </w:tabs>
        <w:spacing w:line="240" w:lineRule="auto"/>
        <w:ind w:left="360"/>
        <w:jc w:val="left"/>
        <w:rPr>
          <w:rFonts w:cs="Arial"/>
          <w:kern w:val="0"/>
          <w:sz w:val="20"/>
          <w:szCs w:val="20"/>
          <w:lang w:eastAsia="en-US"/>
        </w:rPr>
      </w:pPr>
      <w:r w:rsidRPr="00C67AE3">
        <w:rPr>
          <w:rFonts w:cs="Arial"/>
          <w:kern w:val="0"/>
          <w:sz w:val="20"/>
          <w:szCs w:val="20"/>
          <w:lang w:eastAsia="en-US"/>
        </w:rPr>
        <w:t>The stages for resolving the dispute are as follows:</w:t>
      </w:r>
    </w:p>
    <w:p w14:paraId="512286DC" w14:textId="32ABC45D" w:rsidR="00E83F3A" w:rsidRDefault="00E83F3A" w:rsidP="00E15FDF">
      <w:pPr>
        <w:spacing w:line="120" w:lineRule="auto"/>
        <w:ind w:left="357"/>
        <w:jc w:val="left"/>
        <w:rPr>
          <w:rFonts w:cs="Arial"/>
          <w:kern w:val="0"/>
          <w:sz w:val="20"/>
          <w:szCs w:val="20"/>
          <w:lang w:eastAsia="en-US"/>
        </w:rPr>
      </w:pPr>
    </w:p>
    <w:p w14:paraId="293AD5A3" w14:textId="37558EE0" w:rsidR="00E83F3A" w:rsidRPr="00412ED5" w:rsidRDefault="00E83F3A" w:rsidP="00412ED5">
      <w:pPr>
        <w:ind w:left="284"/>
        <w:rPr>
          <w:rFonts w:cs="Arial"/>
          <w:b/>
          <w:bCs/>
          <w:kern w:val="0"/>
          <w:sz w:val="20"/>
          <w:szCs w:val="20"/>
          <w:lang w:eastAsia="en-US"/>
        </w:rPr>
      </w:pPr>
      <w:r w:rsidRPr="00E83F3A">
        <w:rPr>
          <w:rFonts w:cs="Arial"/>
          <w:b/>
          <w:bCs/>
          <w:kern w:val="0"/>
          <w:sz w:val="20"/>
          <w:szCs w:val="20"/>
          <w:lang w:eastAsia="en-US"/>
        </w:rPr>
        <w:t>Dispute Stage</w:t>
      </w:r>
      <w:r w:rsidRPr="00E83F3A">
        <w:rPr>
          <w:rFonts w:cs="Arial"/>
          <w:b/>
          <w:bCs/>
          <w:kern w:val="0"/>
          <w:sz w:val="20"/>
          <w:szCs w:val="20"/>
          <w:lang w:eastAsia="en-US"/>
        </w:rPr>
        <w:tab/>
      </w:r>
      <w:r w:rsidRPr="00E83F3A">
        <w:rPr>
          <w:rFonts w:cs="Arial"/>
          <w:b/>
          <w:bCs/>
          <w:kern w:val="0"/>
          <w:sz w:val="20"/>
          <w:szCs w:val="20"/>
          <w:lang w:eastAsia="en-US"/>
        </w:rPr>
        <w:tab/>
      </w:r>
      <w:r w:rsidRPr="00E83F3A">
        <w:rPr>
          <w:rFonts w:cs="Arial"/>
          <w:b/>
          <w:bCs/>
          <w:kern w:val="0"/>
          <w:sz w:val="20"/>
          <w:szCs w:val="20"/>
          <w:lang w:eastAsia="en-US"/>
        </w:rPr>
        <w:tab/>
      </w:r>
      <w:r w:rsidRPr="00E83F3A">
        <w:rPr>
          <w:rFonts w:cs="Arial"/>
          <w:b/>
          <w:bCs/>
          <w:kern w:val="0"/>
          <w:sz w:val="20"/>
          <w:szCs w:val="20"/>
          <w:lang w:eastAsia="en-US"/>
        </w:rPr>
        <w:tab/>
      </w:r>
      <w:r w:rsidRPr="00E83F3A">
        <w:rPr>
          <w:rFonts w:cs="Arial"/>
          <w:b/>
          <w:bCs/>
          <w:kern w:val="0"/>
          <w:sz w:val="20"/>
          <w:szCs w:val="20"/>
          <w:lang w:eastAsia="en-US"/>
        </w:rPr>
        <w:tab/>
      </w:r>
      <w:r w:rsidRPr="00E83F3A">
        <w:rPr>
          <w:rFonts w:cs="Arial"/>
          <w:b/>
          <w:bCs/>
          <w:kern w:val="0"/>
          <w:sz w:val="20"/>
          <w:szCs w:val="20"/>
          <w:lang w:eastAsia="en-US"/>
        </w:rPr>
        <w:tab/>
      </w:r>
      <w:r w:rsidRPr="00E83F3A">
        <w:rPr>
          <w:rFonts w:cs="Arial"/>
          <w:b/>
          <w:bCs/>
          <w:kern w:val="0"/>
          <w:sz w:val="20"/>
          <w:szCs w:val="20"/>
          <w:lang w:eastAsia="en-US"/>
        </w:rPr>
        <w:tab/>
        <w:t>Process</w:t>
      </w:r>
      <w:r w:rsidRPr="00E83F3A">
        <w:rPr>
          <w:rFonts w:cs="Arial"/>
          <w:b/>
          <w:bCs/>
          <w:kern w:val="0"/>
          <w:sz w:val="20"/>
          <w:szCs w:val="20"/>
          <w:lang w:eastAsia="en-US"/>
        </w:rPr>
        <w:tab/>
      </w:r>
      <w:r w:rsidRPr="00E83F3A">
        <w:rPr>
          <w:rFonts w:cs="Arial"/>
          <w:b/>
          <w:bCs/>
          <w:kern w:val="0"/>
          <w:sz w:val="20"/>
          <w:szCs w:val="20"/>
          <w:lang w:eastAsia="en-US"/>
        </w:rPr>
        <w:tab/>
      </w:r>
      <w:r w:rsidRPr="00E83F3A">
        <w:rPr>
          <w:rFonts w:cs="Arial"/>
          <w:b/>
          <w:bCs/>
          <w:kern w:val="0"/>
          <w:sz w:val="20"/>
          <w:szCs w:val="20"/>
          <w:lang w:eastAsia="en-US"/>
        </w:rPr>
        <w:tab/>
      </w:r>
      <w:r w:rsidRPr="00E83F3A">
        <w:rPr>
          <w:rFonts w:cs="Arial"/>
          <w:b/>
          <w:bCs/>
          <w:kern w:val="0"/>
          <w:sz w:val="20"/>
          <w:szCs w:val="20"/>
          <w:lang w:eastAsia="en-US"/>
        </w:rPr>
        <w:tab/>
      </w:r>
      <w:r w:rsidRPr="00E83F3A">
        <w:rPr>
          <w:rFonts w:cs="Arial"/>
          <w:b/>
          <w:bCs/>
          <w:kern w:val="0"/>
          <w:sz w:val="20"/>
          <w:szCs w:val="20"/>
          <w:lang w:eastAsia="en-US"/>
        </w:rPr>
        <w:tab/>
      </w:r>
      <w:r w:rsidRPr="00E83F3A">
        <w:rPr>
          <w:rFonts w:cs="Arial"/>
          <w:b/>
          <w:bCs/>
          <w:kern w:val="0"/>
          <w:sz w:val="20"/>
          <w:szCs w:val="20"/>
          <w:lang w:eastAsia="en-US"/>
        </w:rPr>
        <w:tab/>
      </w:r>
      <w:r w:rsidRPr="00E83F3A">
        <w:rPr>
          <w:rFonts w:cs="Arial"/>
          <w:b/>
          <w:bCs/>
          <w:kern w:val="0"/>
          <w:sz w:val="20"/>
          <w:szCs w:val="20"/>
          <w:lang w:eastAsia="en-US"/>
        </w:rPr>
        <w:tab/>
      </w:r>
      <w:r w:rsidRPr="00E83F3A">
        <w:rPr>
          <w:rFonts w:cs="Arial"/>
          <w:b/>
          <w:bCs/>
          <w:kern w:val="0"/>
          <w:sz w:val="20"/>
          <w:szCs w:val="20"/>
          <w:lang w:eastAsia="en-US"/>
        </w:rPr>
        <w:tab/>
      </w:r>
      <w:r w:rsidRPr="00E83F3A">
        <w:rPr>
          <w:rFonts w:cs="Arial"/>
          <w:b/>
          <w:bCs/>
          <w:kern w:val="0"/>
          <w:sz w:val="20"/>
          <w:szCs w:val="20"/>
          <w:lang w:eastAsia="en-US"/>
        </w:rPr>
        <w:tab/>
      </w:r>
      <w:r w:rsidRPr="00E83F3A">
        <w:rPr>
          <w:rFonts w:cs="Arial"/>
          <w:b/>
          <w:bCs/>
          <w:kern w:val="0"/>
          <w:sz w:val="20"/>
          <w:szCs w:val="20"/>
          <w:lang w:eastAsia="en-US"/>
        </w:rPr>
        <w:tab/>
        <w:t>Timescale</w:t>
      </w:r>
    </w:p>
    <w:tbl>
      <w:tblPr>
        <w:tblStyle w:val="TableGrid"/>
        <w:tblW w:w="0" w:type="auto"/>
        <w:tblInd w:w="-5" w:type="dxa"/>
        <w:tblLook w:val="04A0" w:firstRow="1" w:lastRow="0" w:firstColumn="1" w:lastColumn="0" w:noHBand="0" w:noVBand="1"/>
      </w:tblPr>
      <w:tblGrid>
        <w:gridCol w:w="1843"/>
        <w:gridCol w:w="4394"/>
        <w:gridCol w:w="2552"/>
      </w:tblGrid>
      <w:tr w:rsidR="00E83F3A" w14:paraId="521F0022" w14:textId="77777777" w:rsidTr="00E83F3A">
        <w:tc>
          <w:tcPr>
            <w:tcW w:w="1843" w:type="dxa"/>
          </w:tcPr>
          <w:p w14:paraId="27E9C65C" w14:textId="69DE0D4D" w:rsidR="00E83F3A" w:rsidRDefault="00E83F3A" w:rsidP="00DF0DB8">
            <w:pPr>
              <w:spacing w:line="240" w:lineRule="auto"/>
              <w:jc w:val="center"/>
              <w:rPr>
                <w:rFonts w:cs="Arial"/>
                <w:kern w:val="0"/>
                <w:sz w:val="20"/>
                <w:szCs w:val="20"/>
                <w:lang w:eastAsia="en-US"/>
              </w:rPr>
            </w:pPr>
            <w:r>
              <w:rPr>
                <w:rFonts w:cs="Arial"/>
                <w:kern w:val="0"/>
                <w:sz w:val="20"/>
                <w:szCs w:val="20"/>
                <w:lang w:eastAsia="en-US"/>
              </w:rPr>
              <w:t>Stage 1</w:t>
            </w:r>
          </w:p>
        </w:tc>
        <w:tc>
          <w:tcPr>
            <w:tcW w:w="4394" w:type="dxa"/>
          </w:tcPr>
          <w:p w14:paraId="02475A7B" w14:textId="77777777" w:rsidR="00DF0DB8" w:rsidRPr="00C67AE3" w:rsidRDefault="00DF0DB8" w:rsidP="00DF0DB8">
            <w:pPr>
              <w:spacing w:line="240" w:lineRule="auto"/>
              <w:jc w:val="center"/>
              <w:rPr>
                <w:rFonts w:cs="Arial"/>
                <w:kern w:val="0"/>
                <w:sz w:val="20"/>
                <w:szCs w:val="20"/>
                <w:lang w:eastAsia="en-US"/>
              </w:rPr>
            </w:pPr>
            <w:r w:rsidRPr="00C67AE3">
              <w:rPr>
                <w:rFonts w:cs="Arial"/>
                <w:kern w:val="0"/>
                <w:sz w:val="20"/>
                <w:szCs w:val="20"/>
                <w:lang w:eastAsia="en-US"/>
              </w:rPr>
              <w:t>CCG Lead CHC Specialist Nurse and L</w:t>
            </w:r>
            <w:r>
              <w:rPr>
                <w:rFonts w:cs="Arial"/>
                <w:kern w:val="0"/>
                <w:sz w:val="20"/>
                <w:szCs w:val="20"/>
                <w:lang w:eastAsia="en-US"/>
              </w:rPr>
              <w:t xml:space="preserve">ocal </w:t>
            </w:r>
            <w:r w:rsidRPr="00C67AE3">
              <w:rPr>
                <w:rFonts w:cs="Arial"/>
                <w:kern w:val="0"/>
                <w:sz w:val="20"/>
                <w:szCs w:val="20"/>
                <w:lang w:eastAsia="en-US"/>
              </w:rPr>
              <w:t>A</w:t>
            </w:r>
            <w:r>
              <w:rPr>
                <w:rFonts w:cs="Arial"/>
                <w:kern w:val="0"/>
                <w:sz w:val="20"/>
                <w:szCs w:val="20"/>
                <w:lang w:eastAsia="en-US"/>
              </w:rPr>
              <w:t>uthority</w:t>
            </w:r>
            <w:r w:rsidRPr="00C67AE3">
              <w:rPr>
                <w:rFonts w:cs="Arial"/>
                <w:kern w:val="0"/>
                <w:sz w:val="20"/>
                <w:szCs w:val="20"/>
                <w:lang w:eastAsia="en-US"/>
              </w:rPr>
              <w:t xml:space="preserve"> Advanced Practitioner to meet with Assessment Complex Case nurse and Social Worker. Failure to agree, move to Stage 2</w:t>
            </w:r>
          </w:p>
          <w:p w14:paraId="4E6B6FEB" w14:textId="77777777" w:rsidR="00E83F3A" w:rsidRDefault="00E83F3A" w:rsidP="00DF0DB8">
            <w:pPr>
              <w:spacing w:line="240" w:lineRule="auto"/>
              <w:jc w:val="center"/>
              <w:rPr>
                <w:rFonts w:cs="Arial"/>
                <w:kern w:val="0"/>
                <w:sz w:val="20"/>
                <w:szCs w:val="20"/>
                <w:lang w:eastAsia="en-US"/>
              </w:rPr>
            </w:pPr>
          </w:p>
        </w:tc>
        <w:tc>
          <w:tcPr>
            <w:tcW w:w="2552" w:type="dxa"/>
          </w:tcPr>
          <w:p w14:paraId="0AB16291" w14:textId="32D51FE5" w:rsidR="00E83F3A" w:rsidRDefault="00DF0DB8" w:rsidP="00DF0DB8">
            <w:pPr>
              <w:spacing w:line="240" w:lineRule="auto"/>
              <w:jc w:val="center"/>
              <w:rPr>
                <w:rFonts w:cs="Arial"/>
                <w:kern w:val="0"/>
                <w:sz w:val="20"/>
                <w:szCs w:val="20"/>
                <w:lang w:eastAsia="en-US"/>
              </w:rPr>
            </w:pPr>
            <w:r w:rsidRPr="00C67AE3">
              <w:rPr>
                <w:rFonts w:cs="Arial"/>
                <w:kern w:val="0"/>
                <w:sz w:val="20"/>
                <w:szCs w:val="20"/>
                <w:lang w:eastAsia="en-US"/>
              </w:rPr>
              <w:t>Within 10 days</w:t>
            </w:r>
          </w:p>
        </w:tc>
      </w:tr>
      <w:tr w:rsidR="00E83F3A" w14:paraId="2317A322" w14:textId="77777777" w:rsidTr="00E83F3A">
        <w:tc>
          <w:tcPr>
            <w:tcW w:w="1843" w:type="dxa"/>
          </w:tcPr>
          <w:p w14:paraId="0A54FFAE" w14:textId="3FE46AAE" w:rsidR="00E83F3A" w:rsidRDefault="00DF0DB8" w:rsidP="00DF0DB8">
            <w:pPr>
              <w:spacing w:line="240" w:lineRule="auto"/>
              <w:jc w:val="center"/>
              <w:rPr>
                <w:rFonts w:cs="Arial"/>
                <w:kern w:val="0"/>
                <w:sz w:val="20"/>
                <w:szCs w:val="20"/>
                <w:lang w:eastAsia="en-US"/>
              </w:rPr>
            </w:pPr>
            <w:r w:rsidRPr="00C67AE3">
              <w:rPr>
                <w:rFonts w:cs="Arial"/>
                <w:kern w:val="0"/>
                <w:sz w:val="20"/>
                <w:szCs w:val="20"/>
                <w:lang w:eastAsia="en-US"/>
              </w:rPr>
              <w:t>Stage 2</w:t>
            </w:r>
          </w:p>
        </w:tc>
        <w:tc>
          <w:tcPr>
            <w:tcW w:w="4394" w:type="dxa"/>
          </w:tcPr>
          <w:p w14:paraId="792A4DD2" w14:textId="30925064" w:rsidR="00DF0DB8" w:rsidRPr="00C67AE3" w:rsidRDefault="00DF0DB8" w:rsidP="00DF0DB8">
            <w:pPr>
              <w:spacing w:line="240" w:lineRule="auto"/>
              <w:jc w:val="center"/>
              <w:rPr>
                <w:rFonts w:cs="Arial"/>
                <w:kern w:val="0"/>
                <w:sz w:val="20"/>
                <w:szCs w:val="20"/>
                <w:lang w:eastAsia="en-US"/>
              </w:rPr>
            </w:pPr>
            <w:r w:rsidRPr="00C67AE3">
              <w:rPr>
                <w:rFonts w:cs="Arial"/>
                <w:kern w:val="0"/>
                <w:sz w:val="20"/>
                <w:szCs w:val="20"/>
                <w:lang w:eastAsia="en-US"/>
              </w:rPr>
              <w:t>CCG Head of Service and Social Care Head of Service to meet with CCG Lead CHC Specialist Nurse and L</w:t>
            </w:r>
            <w:r>
              <w:rPr>
                <w:rFonts w:cs="Arial"/>
                <w:kern w:val="0"/>
                <w:sz w:val="20"/>
                <w:szCs w:val="20"/>
                <w:lang w:eastAsia="en-US"/>
              </w:rPr>
              <w:t xml:space="preserve">ocal </w:t>
            </w:r>
            <w:proofErr w:type="gramStart"/>
            <w:r w:rsidRPr="00C67AE3">
              <w:rPr>
                <w:rFonts w:cs="Arial"/>
                <w:kern w:val="0"/>
                <w:sz w:val="20"/>
                <w:szCs w:val="20"/>
                <w:lang w:eastAsia="en-US"/>
              </w:rPr>
              <w:t>A</w:t>
            </w:r>
            <w:r>
              <w:rPr>
                <w:rFonts w:cs="Arial"/>
                <w:kern w:val="0"/>
                <w:sz w:val="20"/>
                <w:szCs w:val="20"/>
                <w:lang w:eastAsia="en-US"/>
              </w:rPr>
              <w:t xml:space="preserve">uthority </w:t>
            </w:r>
            <w:r w:rsidRPr="00C67AE3">
              <w:rPr>
                <w:rFonts w:cs="Arial"/>
                <w:kern w:val="0"/>
                <w:sz w:val="20"/>
                <w:szCs w:val="20"/>
                <w:lang w:eastAsia="en-US"/>
              </w:rPr>
              <w:t xml:space="preserve"> Advanced</w:t>
            </w:r>
            <w:proofErr w:type="gramEnd"/>
            <w:r w:rsidRPr="00C67AE3">
              <w:rPr>
                <w:rFonts w:cs="Arial"/>
                <w:kern w:val="0"/>
                <w:sz w:val="20"/>
                <w:szCs w:val="20"/>
                <w:lang w:eastAsia="en-US"/>
              </w:rPr>
              <w:t xml:space="preserve"> Practitioner</w:t>
            </w:r>
          </w:p>
          <w:p w14:paraId="79E17C31" w14:textId="77777777" w:rsidR="00E83F3A" w:rsidRDefault="00E83F3A" w:rsidP="00DF0DB8">
            <w:pPr>
              <w:spacing w:line="240" w:lineRule="auto"/>
              <w:jc w:val="center"/>
              <w:rPr>
                <w:rFonts w:cs="Arial"/>
                <w:kern w:val="0"/>
                <w:sz w:val="20"/>
                <w:szCs w:val="20"/>
                <w:lang w:eastAsia="en-US"/>
              </w:rPr>
            </w:pPr>
          </w:p>
        </w:tc>
        <w:tc>
          <w:tcPr>
            <w:tcW w:w="2552" w:type="dxa"/>
          </w:tcPr>
          <w:p w14:paraId="5A6656AA" w14:textId="14A8F381" w:rsidR="00E83F3A" w:rsidRDefault="00DF0DB8" w:rsidP="00DF0DB8">
            <w:pPr>
              <w:spacing w:line="240" w:lineRule="auto"/>
              <w:jc w:val="center"/>
              <w:rPr>
                <w:rFonts w:cs="Arial"/>
                <w:kern w:val="0"/>
                <w:sz w:val="20"/>
                <w:szCs w:val="20"/>
                <w:lang w:eastAsia="en-US"/>
              </w:rPr>
            </w:pPr>
            <w:r w:rsidRPr="00C67AE3">
              <w:rPr>
                <w:rFonts w:cs="Arial"/>
                <w:kern w:val="0"/>
                <w:sz w:val="20"/>
                <w:szCs w:val="20"/>
                <w:lang w:eastAsia="en-US"/>
              </w:rPr>
              <w:t>Within 10 Days</w:t>
            </w:r>
          </w:p>
        </w:tc>
      </w:tr>
    </w:tbl>
    <w:p w14:paraId="74B5984D" w14:textId="7822CC77" w:rsidR="00E83F3A" w:rsidRDefault="00E83F3A" w:rsidP="00E83F3A">
      <w:pPr>
        <w:spacing w:line="240" w:lineRule="auto"/>
        <w:jc w:val="left"/>
        <w:rPr>
          <w:rFonts w:cs="Arial"/>
          <w:kern w:val="0"/>
          <w:sz w:val="20"/>
          <w:szCs w:val="20"/>
          <w:lang w:eastAsia="en-US"/>
        </w:rPr>
      </w:pPr>
    </w:p>
    <w:p w14:paraId="3C87282A" w14:textId="1BCD3326" w:rsidR="00DF0DB8" w:rsidRDefault="00DF0DB8" w:rsidP="00DF0DB8">
      <w:pPr>
        <w:spacing w:line="240" w:lineRule="auto"/>
        <w:jc w:val="left"/>
        <w:rPr>
          <w:rFonts w:cs="Arial"/>
          <w:kern w:val="0"/>
          <w:sz w:val="20"/>
          <w:szCs w:val="20"/>
          <w:lang w:eastAsia="en-US"/>
        </w:rPr>
      </w:pPr>
      <w:r w:rsidRPr="00C67AE3">
        <w:rPr>
          <w:rFonts w:cs="Arial"/>
          <w:kern w:val="0"/>
          <w:sz w:val="20"/>
          <w:szCs w:val="20"/>
          <w:lang w:eastAsia="en-US"/>
        </w:rPr>
        <w:t xml:space="preserve">At </w:t>
      </w:r>
      <w:r w:rsidRPr="00C67AE3">
        <w:rPr>
          <w:rFonts w:cs="Arial"/>
          <w:b/>
          <w:kern w:val="0"/>
          <w:sz w:val="20"/>
          <w:szCs w:val="20"/>
          <w:lang w:eastAsia="en-US"/>
        </w:rPr>
        <w:t>Stage 2</w:t>
      </w:r>
      <w:r w:rsidRPr="00C67AE3">
        <w:rPr>
          <w:rFonts w:cs="Arial"/>
          <w:kern w:val="0"/>
          <w:sz w:val="20"/>
          <w:szCs w:val="20"/>
          <w:lang w:eastAsia="en-US"/>
        </w:rPr>
        <w:t xml:space="preserve">, The respective CHC Leads can elect to resolve the matter by arbitration, mediation or independent review if considered appropriate. </w:t>
      </w:r>
    </w:p>
    <w:p w14:paraId="2A300B27" w14:textId="1028A28D" w:rsidR="00DF0DB8" w:rsidRDefault="00DF0DB8" w:rsidP="00DF0DB8">
      <w:pPr>
        <w:spacing w:line="240" w:lineRule="auto"/>
        <w:jc w:val="left"/>
        <w:rPr>
          <w:rFonts w:cs="Arial"/>
          <w:kern w:val="0"/>
          <w:sz w:val="20"/>
          <w:szCs w:val="20"/>
          <w:lang w:eastAsia="en-US"/>
        </w:rPr>
      </w:pPr>
    </w:p>
    <w:tbl>
      <w:tblPr>
        <w:tblStyle w:val="TableGrid"/>
        <w:tblW w:w="0" w:type="auto"/>
        <w:tblLook w:val="04A0" w:firstRow="1" w:lastRow="0" w:firstColumn="1" w:lastColumn="0" w:noHBand="0" w:noVBand="1"/>
      </w:tblPr>
      <w:tblGrid>
        <w:gridCol w:w="1838"/>
        <w:gridCol w:w="4394"/>
        <w:gridCol w:w="2784"/>
      </w:tblGrid>
      <w:tr w:rsidR="00DF0DB8" w14:paraId="447716FE" w14:textId="77777777" w:rsidTr="00DF0DB8">
        <w:tc>
          <w:tcPr>
            <w:tcW w:w="1838" w:type="dxa"/>
          </w:tcPr>
          <w:p w14:paraId="03D0DBB6" w14:textId="55871277" w:rsidR="00DF0DB8" w:rsidRDefault="00DF0DB8" w:rsidP="00DF0DB8">
            <w:pPr>
              <w:spacing w:line="240" w:lineRule="auto"/>
              <w:jc w:val="center"/>
              <w:rPr>
                <w:rFonts w:cs="Arial"/>
                <w:kern w:val="0"/>
                <w:sz w:val="20"/>
                <w:szCs w:val="20"/>
                <w:lang w:eastAsia="en-US"/>
              </w:rPr>
            </w:pPr>
            <w:r>
              <w:rPr>
                <w:rFonts w:cs="Arial"/>
                <w:kern w:val="0"/>
                <w:sz w:val="20"/>
                <w:szCs w:val="20"/>
                <w:lang w:eastAsia="en-US"/>
              </w:rPr>
              <w:t>Stage 3</w:t>
            </w:r>
          </w:p>
        </w:tc>
        <w:tc>
          <w:tcPr>
            <w:tcW w:w="4394" w:type="dxa"/>
          </w:tcPr>
          <w:p w14:paraId="1D97CE44" w14:textId="77777777" w:rsidR="00DF0DB8" w:rsidRPr="00C67AE3" w:rsidRDefault="00DF0DB8" w:rsidP="00DF0DB8">
            <w:pPr>
              <w:spacing w:line="240" w:lineRule="auto"/>
              <w:jc w:val="left"/>
              <w:rPr>
                <w:rFonts w:cs="Arial"/>
                <w:kern w:val="0"/>
                <w:sz w:val="20"/>
                <w:szCs w:val="20"/>
                <w:lang w:eastAsia="en-US"/>
              </w:rPr>
            </w:pPr>
            <w:r w:rsidRPr="00C67AE3">
              <w:rPr>
                <w:rFonts w:cs="Arial"/>
                <w:kern w:val="0"/>
                <w:sz w:val="20"/>
                <w:szCs w:val="20"/>
                <w:lang w:eastAsia="en-US"/>
              </w:rPr>
              <w:t>Formal Disputes Group to be convened consisting of:</w:t>
            </w:r>
          </w:p>
          <w:p w14:paraId="63D0DA52" w14:textId="77777777" w:rsidR="00DF0DB8" w:rsidRPr="00C67AE3" w:rsidRDefault="00DF0DB8" w:rsidP="00DF0DB8">
            <w:pPr>
              <w:numPr>
                <w:ilvl w:val="0"/>
                <w:numId w:val="25"/>
              </w:numPr>
              <w:spacing w:line="240" w:lineRule="auto"/>
              <w:jc w:val="left"/>
              <w:rPr>
                <w:rFonts w:cs="Arial"/>
                <w:kern w:val="0"/>
                <w:sz w:val="20"/>
                <w:szCs w:val="20"/>
                <w:lang w:eastAsia="en-US"/>
              </w:rPr>
            </w:pPr>
            <w:r w:rsidRPr="00C67AE3">
              <w:rPr>
                <w:rFonts w:cs="Arial"/>
                <w:kern w:val="0"/>
                <w:sz w:val="20"/>
                <w:szCs w:val="20"/>
                <w:lang w:eastAsia="en-US"/>
              </w:rPr>
              <w:t>The responsible CCG Director</w:t>
            </w:r>
          </w:p>
          <w:p w14:paraId="5E5470E7" w14:textId="77777777" w:rsidR="00DF0DB8" w:rsidRPr="00C67AE3" w:rsidRDefault="00DF0DB8" w:rsidP="00DF0DB8">
            <w:pPr>
              <w:numPr>
                <w:ilvl w:val="0"/>
                <w:numId w:val="25"/>
              </w:numPr>
              <w:spacing w:line="240" w:lineRule="auto"/>
              <w:jc w:val="left"/>
              <w:rPr>
                <w:rFonts w:cs="Arial"/>
                <w:kern w:val="0"/>
                <w:sz w:val="20"/>
                <w:szCs w:val="20"/>
                <w:lang w:eastAsia="en-US"/>
              </w:rPr>
            </w:pPr>
            <w:r w:rsidRPr="00C67AE3">
              <w:rPr>
                <w:rFonts w:cs="Arial"/>
                <w:kern w:val="0"/>
                <w:sz w:val="20"/>
                <w:szCs w:val="20"/>
                <w:lang w:eastAsia="en-US"/>
              </w:rPr>
              <w:t>A responsible L</w:t>
            </w:r>
            <w:r>
              <w:rPr>
                <w:rFonts w:cs="Arial"/>
                <w:kern w:val="0"/>
                <w:sz w:val="20"/>
                <w:szCs w:val="20"/>
                <w:lang w:eastAsia="en-US"/>
              </w:rPr>
              <w:t xml:space="preserve">ocal </w:t>
            </w:r>
            <w:r w:rsidRPr="00C67AE3">
              <w:rPr>
                <w:rFonts w:cs="Arial"/>
                <w:kern w:val="0"/>
                <w:sz w:val="20"/>
                <w:szCs w:val="20"/>
                <w:lang w:eastAsia="en-US"/>
              </w:rPr>
              <w:t>A</w:t>
            </w:r>
            <w:r>
              <w:rPr>
                <w:rFonts w:cs="Arial"/>
                <w:kern w:val="0"/>
                <w:sz w:val="20"/>
                <w:szCs w:val="20"/>
                <w:lang w:eastAsia="en-US"/>
              </w:rPr>
              <w:t>uthority</w:t>
            </w:r>
            <w:r w:rsidRPr="00C67AE3">
              <w:rPr>
                <w:rFonts w:cs="Arial"/>
                <w:kern w:val="0"/>
                <w:sz w:val="20"/>
                <w:szCs w:val="20"/>
                <w:lang w:eastAsia="en-US"/>
              </w:rPr>
              <w:t xml:space="preserve"> Service Director</w:t>
            </w:r>
          </w:p>
          <w:p w14:paraId="7E8986CB" w14:textId="77777777" w:rsidR="00DF0DB8" w:rsidRDefault="00DF0DB8" w:rsidP="00DF0DB8">
            <w:pPr>
              <w:spacing w:line="240" w:lineRule="auto"/>
              <w:jc w:val="left"/>
              <w:rPr>
                <w:rFonts w:cs="Arial"/>
                <w:kern w:val="0"/>
                <w:sz w:val="20"/>
                <w:szCs w:val="20"/>
                <w:lang w:eastAsia="en-US"/>
              </w:rPr>
            </w:pPr>
          </w:p>
        </w:tc>
        <w:tc>
          <w:tcPr>
            <w:tcW w:w="2784" w:type="dxa"/>
          </w:tcPr>
          <w:p w14:paraId="7D0503FE" w14:textId="2208963D" w:rsidR="00DF0DB8" w:rsidRDefault="00DF0DB8" w:rsidP="00DF0DB8">
            <w:pPr>
              <w:spacing w:line="240" w:lineRule="auto"/>
              <w:jc w:val="center"/>
              <w:rPr>
                <w:rFonts w:cs="Arial"/>
                <w:kern w:val="0"/>
                <w:sz w:val="20"/>
                <w:szCs w:val="20"/>
                <w:lang w:eastAsia="en-US"/>
              </w:rPr>
            </w:pPr>
            <w:r>
              <w:rPr>
                <w:rFonts w:cs="Arial"/>
                <w:kern w:val="0"/>
                <w:sz w:val="20"/>
                <w:szCs w:val="20"/>
                <w:lang w:eastAsia="en-US"/>
              </w:rPr>
              <w:t>Within 10 days</w:t>
            </w:r>
          </w:p>
        </w:tc>
      </w:tr>
    </w:tbl>
    <w:p w14:paraId="01F0A45D" w14:textId="07DE2C8D" w:rsidR="00DF0DB8" w:rsidRDefault="00DF0DB8" w:rsidP="00DF0DB8">
      <w:pPr>
        <w:spacing w:line="240" w:lineRule="auto"/>
        <w:jc w:val="left"/>
        <w:rPr>
          <w:rFonts w:cs="Arial"/>
          <w:kern w:val="0"/>
          <w:sz w:val="20"/>
          <w:szCs w:val="20"/>
          <w:lang w:eastAsia="en-US"/>
        </w:rPr>
      </w:pPr>
    </w:p>
    <w:p w14:paraId="6FFC7829" w14:textId="77777777" w:rsidR="00DF0DB8" w:rsidRPr="00C67AE3" w:rsidRDefault="00DF0DB8" w:rsidP="00DF0DB8">
      <w:pPr>
        <w:spacing w:line="240" w:lineRule="auto"/>
        <w:jc w:val="left"/>
        <w:rPr>
          <w:rFonts w:cs="Arial"/>
          <w:kern w:val="0"/>
          <w:sz w:val="20"/>
          <w:szCs w:val="20"/>
          <w:lang w:eastAsia="en-US"/>
        </w:rPr>
      </w:pPr>
      <w:r w:rsidRPr="00C67AE3">
        <w:rPr>
          <w:rFonts w:cs="Arial"/>
          <w:kern w:val="0"/>
          <w:sz w:val="20"/>
          <w:szCs w:val="20"/>
          <w:lang w:eastAsia="en-US"/>
        </w:rPr>
        <w:t xml:space="preserve">At </w:t>
      </w:r>
      <w:r w:rsidRPr="00C67AE3">
        <w:rPr>
          <w:rFonts w:cs="Arial"/>
          <w:b/>
          <w:kern w:val="0"/>
          <w:sz w:val="20"/>
          <w:szCs w:val="20"/>
          <w:lang w:eastAsia="en-US"/>
        </w:rPr>
        <w:t>Stage 3</w:t>
      </w:r>
      <w:r w:rsidRPr="00C67AE3">
        <w:rPr>
          <w:rFonts w:cs="Arial"/>
          <w:kern w:val="0"/>
          <w:sz w:val="20"/>
          <w:szCs w:val="20"/>
          <w:lang w:eastAsia="en-US"/>
        </w:rPr>
        <w:t>, the respective Directors / Chief Officers can elect to resolve the matter by arbitration, mediation or independent review if considered appropriate.</w:t>
      </w:r>
    </w:p>
    <w:p w14:paraId="715FC981" w14:textId="439AB6E1" w:rsidR="00DF0DB8" w:rsidRDefault="00DF0DB8" w:rsidP="00DF0DB8">
      <w:pPr>
        <w:spacing w:line="240" w:lineRule="auto"/>
        <w:jc w:val="left"/>
        <w:rPr>
          <w:rFonts w:cs="Arial"/>
          <w:kern w:val="0"/>
          <w:sz w:val="20"/>
          <w:szCs w:val="20"/>
          <w:lang w:eastAsia="en-US"/>
        </w:rPr>
      </w:pPr>
    </w:p>
    <w:tbl>
      <w:tblPr>
        <w:tblStyle w:val="TableGrid"/>
        <w:tblW w:w="0" w:type="auto"/>
        <w:jc w:val="center"/>
        <w:tblLook w:val="04A0" w:firstRow="1" w:lastRow="0" w:firstColumn="1" w:lastColumn="0" w:noHBand="0" w:noVBand="1"/>
      </w:tblPr>
      <w:tblGrid>
        <w:gridCol w:w="1838"/>
        <w:gridCol w:w="4394"/>
        <w:gridCol w:w="2784"/>
      </w:tblGrid>
      <w:tr w:rsidR="00DF0DB8" w14:paraId="30147A51" w14:textId="77777777" w:rsidTr="00412ED5">
        <w:trPr>
          <w:jc w:val="center"/>
        </w:trPr>
        <w:tc>
          <w:tcPr>
            <w:tcW w:w="1838" w:type="dxa"/>
          </w:tcPr>
          <w:p w14:paraId="54948D8A" w14:textId="782AA9CE" w:rsidR="00DF0DB8" w:rsidRDefault="00412ED5" w:rsidP="00412ED5">
            <w:pPr>
              <w:spacing w:line="240" w:lineRule="auto"/>
              <w:jc w:val="center"/>
              <w:rPr>
                <w:rFonts w:cs="Arial"/>
                <w:kern w:val="0"/>
                <w:sz w:val="20"/>
                <w:szCs w:val="20"/>
                <w:lang w:eastAsia="en-US"/>
              </w:rPr>
            </w:pPr>
            <w:r>
              <w:rPr>
                <w:rFonts w:cs="Arial"/>
                <w:kern w:val="0"/>
                <w:sz w:val="20"/>
                <w:szCs w:val="20"/>
                <w:lang w:eastAsia="en-US"/>
              </w:rPr>
              <w:t>Stage 4</w:t>
            </w:r>
          </w:p>
        </w:tc>
        <w:tc>
          <w:tcPr>
            <w:tcW w:w="4394" w:type="dxa"/>
          </w:tcPr>
          <w:p w14:paraId="17C1295E" w14:textId="77777777" w:rsidR="00412ED5" w:rsidRPr="00C67AE3" w:rsidRDefault="00412ED5" w:rsidP="00412ED5">
            <w:pPr>
              <w:spacing w:line="240" w:lineRule="auto"/>
              <w:jc w:val="left"/>
              <w:rPr>
                <w:rFonts w:cs="Arial"/>
                <w:kern w:val="0"/>
                <w:sz w:val="20"/>
                <w:szCs w:val="20"/>
                <w:lang w:eastAsia="en-US"/>
              </w:rPr>
            </w:pPr>
            <w:r w:rsidRPr="00C67AE3">
              <w:rPr>
                <w:rFonts w:cs="Arial"/>
                <w:kern w:val="0"/>
                <w:sz w:val="20"/>
                <w:szCs w:val="20"/>
                <w:lang w:eastAsia="en-US"/>
              </w:rPr>
              <w:t xml:space="preserve">Discussion between the Chief Officer of the CCG and the LA Strategic Director, People. </w:t>
            </w:r>
          </w:p>
          <w:p w14:paraId="6206C311" w14:textId="77777777" w:rsidR="00DF0DB8" w:rsidRDefault="00DF0DB8" w:rsidP="00DF0DB8">
            <w:pPr>
              <w:spacing w:line="240" w:lineRule="auto"/>
              <w:jc w:val="left"/>
              <w:rPr>
                <w:rFonts w:cs="Arial"/>
                <w:kern w:val="0"/>
                <w:sz w:val="20"/>
                <w:szCs w:val="20"/>
                <w:lang w:eastAsia="en-US"/>
              </w:rPr>
            </w:pPr>
          </w:p>
        </w:tc>
        <w:tc>
          <w:tcPr>
            <w:tcW w:w="2784" w:type="dxa"/>
          </w:tcPr>
          <w:p w14:paraId="38765E82" w14:textId="371F1EE4" w:rsidR="00DF0DB8" w:rsidRDefault="00412ED5" w:rsidP="00DF0DB8">
            <w:pPr>
              <w:spacing w:line="240" w:lineRule="auto"/>
              <w:jc w:val="left"/>
              <w:rPr>
                <w:rFonts w:cs="Arial"/>
                <w:kern w:val="0"/>
                <w:sz w:val="20"/>
                <w:szCs w:val="20"/>
                <w:lang w:eastAsia="en-US"/>
              </w:rPr>
            </w:pPr>
            <w:r>
              <w:rPr>
                <w:rFonts w:cs="Arial"/>
                <w:kern w:val="0"/>
                <w:sz w:val="20"/>
                <w:szCs w:val="20"/>
                <w:lang w:eastAsia="en-US"/>
              </w:rPr>
              <w:t>Within 10 days</w:t>
            </w:r>
          </w:p>
        </w:tc>
      </w:tr>
    </w:tbl>
    <w:p w14:paraId="2166A47D" w14:textId="79C12593" w:rsidR="00DF0DB8" w:rsidRDefault="00DF0DB8" w:rsidP="00DF0DB8">
      <w:pPr>
        <w:spacing w:line="240" w:lineRule="auto"/>
        <w:jc w:val="left"/>
        <w:rPr>
          <w:rFonts w:cs="Arial"/>
          <w:kern w:val="0"/>
          <w:sz w:val="20"/>
          <w:szCs w:val="20"/>
          <w:lang w:eastAsia="en-US"/>
        </w:rPr>
      </w:pPr>
    </w:p>
    <w:p w14:paraId="01CB7443" w14:textId="2E24080C" w:rsidR="00DF0DB8" w:rsidRDefault="00412ED5" w:rsidP="00DF0DB8">
      <w:pPr>
        <w:spacing w:line="240" w:lineRule="auto"/>
        <w:jc w:val="left"/>
        <w:rPr>
          <w:rFonts w:cs="Arial"/>
          <w:kern w:val="0"/>
          <w:sz w:val="20"/>
          <w:szCs w:val="20"/>
          <w:lang w:eastAsia="en-US"/>
        </w:rPr>
      </w:pPr>
      <w:r w:rsidRPr="00C67AE3">
        <w:rPr>
          <w:rFonts w:cs="Arial"/>
          <w:kern w:val="0"/>
          <w:sz w:val="20"/>
          <w:szCs w:val="20"/>
          <w:lang w:eastAsia="en-US"/>
        </w:rPr>
        <w:t xml:space="preserve">At </w:t>
      </w:r>
      <w:r w:rsidRPr="00C67AE3">
        <w:rPr>
          <w:rFonts w:cs="Arial"/>
          <w:b/>
          <w:kern w:val="0"/>
          <w:sz w:val="20"/>
          <w:szCs w:val="20"/>
          <w:lang w:eastAsia="en-US"/>
        </w:rPr>
        <w:t>Stage 4</w:t>
      </w:r>
      <w:r w:rsidRPr="00C67AE3">
        <w:rPr>
          <w:rFonts w:cs="Arial"/>
          <w:kern w:val="0"/>
          <w:sz w:val="20"/>
          <w:szCs w:val="20"/>
          <w:lang w:eastAsia="en-US"/>
        </w:rPr>
        <w:t>, the Chief Officer and the Director of Social Care can elect to resolve the matter by arbitration, mediation or independent review if considered appropriate</w:t>
      </w:r>
    </w:p>
    <w:p w14:paraId="1207AAD1" w14:textId="77777777" w:rsidR="00837547" w:rsidRPr="00C67AE3" w:rsidRDefault="00837547" w:rsidP="00E15FDF">
      <w:pPr>
        <w:spacing w:line="240" w:lineRule="auto"/>
        <w:jc w:val="left"/>
        <w:rPr>
          <w:rFonts w:cs="Arial"/>
          <w:b/>
          <w:kern w:val="0"/>
          <w:sz w:val="20"/>
          <w:szCs w:val="20"/>
          <w:lang w:eastAsia="en-US"/>
        </w:rPr>
      </w:pPr>
      <w:r w:rsidRPr="00C67AE3">
        <w:rPr>
          <w:rFonts w:cs="Arial"/>
          <w:b/>
          <w:kern w:val="0"/>
          <w:sz w:val="20"/>
          <w:szCs w:val="20"/>
          <w:lang w:eastAsia="en-US"/>
        </w:rPr>
        <w:lastRenderedPageBreak/>
        <w:t>Information Sharing</w:t>
      </w:r>
    </w:p>
    <w:p w14:paraId="4B30C53A" w14:textId="77777777" w:rsidR="00837547" w:rsidRPr="00C67AE3" w:rsidRDefault="00837547" w:rsidP="00837547">
      <w:pPr>
        <w:spacing w:line="240" w:lineRule="auto"/>
        <w:jc w:val="left"/>
        <w:rPr>
          <w:rFonts w:cs="Arial"/>
          <w:kern w:val="0"/>
          <w:sz w:val="20"/>
          <w:szCs w:val="20"/>
          <w:lang w:eastAsia="en-US"/>
        </w:rPr>
      </w:pPr>
    </w:p>
    <w:p w14:paraId="290B2FD8" w14:textId="77777777" w:rsidR="00837547" w:rsidRPr="00C67AE3" w:rsidRDefault="00837547" w:rsidP="00E15FDF">
      <w:pPr>
        <w:numPr>
          <w:ilvl w:val="0"/>
          <w:numId w:val="24"/>
        </w:numPr>
        <w:tabs>
          <w:tab w:val="clear" w:pos="644"/>
          <w:tab w:val="num" w:pos="360"/>
        </w:tabs>
        <w:spacing w:line="240" w:lineRule="auto"/>
        <w:ind w:left="360"/>
        <w:jc w:val="left"/>
        <w:rPr>
          <w:rFonts w:cs="Arial"/>
          <w:kern w:val="0"/>
          <w:sz w:val="20"/>
          <w:szCs w:val="20"/>
          <w:lang w:eastAsia="en-US"/>
        </w:rPr>
      </w:pPr>
      <w:r w:rsidRPr="00C67AE3">
        <w:rPr>
          <w:rFonts w:cs="Arial"/>
          <w:kern w:val="0"/>
          <w:sz w:val="20"/>
          <w:szCs w:val="20"/>
          <w:lang w:eastAsia="en-US"/>
        </w:rPr>
        <w:t>At all stages in the process, those involved in resolving the dispute must have access to all documents which are relevant. This should include:</w:t>
      </w:r>
    </w:p>
    <w:p w14:paraId="2D3728EB" w14:textId="77777777" w:rsidR="00837547" w:rsidRPr="00C67AE3" w:rsidRDefault="00837547" w:rsidP="00837547">
      <w:pPr>
        <w:spacing w:line="240" w:lineRule="auto"/>
        <w:ind w:left="720"/>
        <w:jc w:val="left"/>
        <w:rPr>
          <w:rFonts w:cs="Arial"/>
          <w:kern w:val="0"/>
          <w:sz w:val="20"/>
          <w:szCs w:val="20"/>
          <w:lang w:eastAsia="en-US"/>
        </w:rPr>
      </w:pPr>
    </w:p>
    <w:p w14:paraId="382982BC" w14:textId="77777777" w:rsidR="00837547" w:rsidRPr="00C67AE3" w:rsidRDefault="00837547" w:rsidP="00837547">
      <w:pPr>
        <w:numPr>
          <w:ilvl w:val="0"/>
          <w:numId w:val="26"/>
        </w:numPr>
        <w:spacing w:line="240" w:lineRule="auto"/>
        <w:jc w:val="left"/>
        <w:rPr>
          <w:rFonts w:cs="Arial"/>
          <w:kern w:val="0"/>
          <w:sz w:val="20"/>
          <w:szCs w:val="20"/>
          <w:lang w:eastAsia="en-US"/>
        </w:rPr>
      </w:pPr>
      <w:r w:rsidRPr="00C67AE3">
        <w:rPr>
          <w:rFonts w:cs="Arial"/>
          <w:kern w:val="0"/>
          <w:sz w:val="20"/>
          <w:szCs w:val="20"/>
          <w:lang w:eastAsia="en-US"/>
        </w:rPr>
        <w:t>The Checklist</w:t>
      </w:r>
    </w:p>
    <w:p w14:paraId="2B892517" w14:textId="77777777" w:rsidR="00837547" w:rsidRPr="00C67AE3" w:rsidRDefault="00837547" w:rsidP="00837547">
      <w:pPr>
        <w:numPr>
          <w:ilvl w:val="0"/>
          <w:numId w:val="26"/>
        </w:numPr>
        <w:spacing w:line="240" w:lineRule="auto"/>
        <w:jc w:val="left"/>
        <w:rPr>
          <w:rFonts w:cs="Arial"/>
          <w:kern w:val="0"/>
          <w:sz w:val="20"/>
          <w:szCs w:val="20"/>
          <w:lang w:eastAsia="en-US"/>
        </w:rPr>
      </w:pPr>
      <w:r w:rsidRPr="00C67AE3">
        <w:rPr>
          <w:rFonts w:cs="Arial"/>
          <w:kern w:val="0"/>
          <w:sz w:val="20"/>
          <w:szCs w:val="20"/>
          <w:lang w:eastAsia="en-US"/>
        </w:rPr>
        <w:t>The Decision Support Tool</w:t>
      </w:r>
    </w:p>
    <w:p w14:paraId="47609F13" w14:textId="77777777" w:rsidR="00837547" w:rsidRPr="00C67AE3" w:rsidRDefault="00837547" w:rsidP="00837547">
      <w:pPr>
        <w:numPr>
          <w:ilvl w:val="0"/>
          <w:numId w:val="26"/>
        </w:numPr>
        <w:spacing w:line="240" w:lineRule="auto"/>
        <w:jc w:val="left"/>
        <w:rPr>
          <w:rFonts w:cs="Arial"/>
          <w:kern w:val="0"/>
          <w:sz w:val="20"/>
          <w:szCs w:val="20"/>
          <w:lang w:eastAsia="en-US"/>
        </w:rPr>
      </w:pPr>
      <w:r w:rsidRPr="00C67AE3">
        <w:rPr>
          <w:rFonts w:cs="Arial"/>
          <w:kern w:val="0"/>
          <w:sz w:val="20"/>
          <w:szCs w:val="20"/>
          <w:lang w:eastAsia="en-US"/>
        </w:rPr>
        <w:t>Community Care Assessment</w:t>
      </w:r>
    </w:p>
    <w:p w14:paraId="60C36CD3" w14:textId="77777777" w:rsidR="00837547" w:rsidRPr="00C67AE3" w:rsidRDefault="00837547" w:rsidP="00837547">
      <w:pPr>
        <w:numPr>
          <w:ilvl w:val="0"/>
          <w:numId w:val="26"/>
        </w:numPr>
        <w:spacing w:line="240" w:lineRule="auto"/>
        <w:jc w:val="left"/>
        <w:rPr>
          <w:rFonts w:cs="Arial"/>
          <w:kern w:val="0"/>
          <w:sz w:val="20"/>
          <w:szCs w:val="20"/>
          <w:lang w:eastAsia="en-US"/>
        </w:rPr>
      </w:pPr>
      <w:r w:rsidRPr="00C67AE3">
        <w:rPr>
          <w:rFonts w:cs="Arial"/>
          <w:kern w:val="0"/>
          <w:sz w:val="20"/>
          <w:szCs w:val="20"/>
          <w:lang w:eastAsia="en-US"/>
        </w:rPr>
        <w:t>Care Plans</w:t>
      </w:r>
    </w:p>
    <w:p w14:paraId="4432BB16" w14:textId="7C5A22B0" w:rsidR="00C67AE3" w:rsidRPr="00172C11" w:rsidRDefault="00837547" w:rsidP="00AE524E">
      <w:pPr>
        <w:numPr>
          <w:ilvl w:val="0"/>
          <w:numId w:val="26"/>
        </w:numPr>
        <w:spacing w:line="240" w:lineRule="auto"/>
        <w:jc w:val="left"/>
        <w:rPr>
          <w:rFonts w:cs="Arial"/>
          <w:kern w:val="0"/>
          <w:sz w:val="24"/>
          <w:lang w:eastAsia="en-US"/>
        </w:rPr>
      </w:pPr>
      <w:r w:rsidRPr="00C67AE3">
        <w:rPr>
          <w:rFonts w:cs="Arial"/>
          <w:kern w:val="0"/>
          <w:sz w:val="20"/>
          <w:szCs w:val="20"/>
          <w:lang w:eastAsia="en-US"/>
        </w:rPr>
        <w:t>All available patient records</w:t>
      </w:r>
    </w:p>
    <w:p w14:paraId="69400C10" w14:textId="77777777" w:rsidR="00C67AE3" w:rsidRPr="00172C11" w:rsidRDefault="00C67AE3" w:rsidP="00C67AE3">
      <w:pPr>
        <w:spacing w:line="240" w:lineRule="auto"/>
        <w:jc w:val="left"/>
        <w:rPr>
          <w:kern w:val="0"/>
          <w:sz w:val="24"/>
          <w:lang w:eastAsia="en-US"/>
        </w:rPr>
      </w:pPr>
    </w:p>
    <w:p w14:paraId="591BB02E" w14:textId="77777777" w:rsidR="00482616" w:rsidRDefault="00482616" w:rsidP="00482616">
      <w:pPr>
        <w:autoSpaceDE w:val="0"/>
        <w:autoSpaceDN w:val="0"/>
        <w:adjustRightInd w:val="0"/>
        <w:spacing w:line="240" w:lineRule="auto"/>
        <w:ind w:left="284"/>
        <w:rPr>
          <w:rFonts w:cs="Arial"/>
          <w:color w:val="000000"/>
          <w:kern w:val="0"/>
          <w:szCs w:val="22"/>
        </w:rPr>
      </w:pPr>
    </w:p>
    <w:p w14:paraId="1642C3E8" w14:textId="77777777" w:rsidR="00BE660F" w:rsidRDefault="00BE660F" w:rsidP="00482616">
      <w:pPr>
        <w:autoSpaceDE w:val="0"/>
        <w:autoSpaceDN w:val="0"/>
        <w:adjustRightInd w:val="0"/>
        <w:spacing w:line="240" w:lineRule="auto"/>
        <w:ind w:left="284"/>
        <w:rPr>
          <w:rFonts w:cs="Arial"/>
          <w:color w:val="000000"/>
          <w:kern w:val="0"/>
          <w:szCs w:val="22"/>
        </w:rPr>
      </w:pPr>
    </w:p>
    <w:p w14:paraId="1A62640A" w14:textId="77777777" w:rsidR="00BE660F" w:rsidRDefault="00BE660F" w:rsidP="00482616">
      <w:pPr>
        <w:autoSpaceDE w:val="0"/>
        <w:autoSpaceDN w:val="0"/>
        <w:adjustRightInd w:val="0"/>
        <w:spacing w:line="240" w:lineRule="auto"/>
        <w:ind w:left="284"/>
        <w:rPr>
          <w:rFonts w:cs="Arial"/>
          <w:color w:val="000000"/>
          <w:kern w:val="0"/>
          <w:szCs w:val="22"/>
        </w:rPr>
      </w:pPr>
    </w:p>
    <w:p w14:paraId="4BA4956B" w14:textId="77777777" w:rsidR="00BE660F" w:rsidRDefault="00BE660F" w:rsidP="00482616">
      <w:pPr>
        <w:autoSpaceDE w:val="0"/>
        <w:autoSpaceDN w:val="0"/>
        <w:adjustRightInd w:val="0"/>
        <w:spacing w:line="240" w:lineRule="auto"/>
        <w:ind w:left="284"/>
        <w:rPr>
          <w:rFonts w:cs="Arial"/>
          <w:color w:val="000000"/>
          <w:kern w:val="0"/>
          <w:szCs w:val="22"/>
        </w:rPr>
      </w:pPr>
    </w:p>
    <w:p w14:paraId="04051625" w14:textId="77777777" w:rsidR="00BE660F" w:rsidRDefault="00BE660F" w:rsidP="00482616">
      <w:pPr>
        <w:autoSpaceDE w:val="0"/>
        <w:autoSpaceDN w:val="0"/>
        <w:adjustRightInd w:val="0"/>
        <w:spacing w:line="240" w:lineRule="auto"/>
        <w:ind w:left="284"/>
        <w:rPr>
          <w:rFonts w:cs="Arial"/>
          <w:color w:val="000000"/>
          <w:kern w:val="0"/>
          <w:szCs w:val="22"/>
        </w:rPr>
      </w:pPr>
    </w:p>
    <w:p w14:paraId="522F4EF9" w14:textId="77777777" w:rsidR="00BE660F" w:rsidRDefault="00BE660F" w:rsidP="00482616">
      <w:pPr>
        <w:autoSpaceDE w:val="0"/>
        <w:autoSpaceDN w:val="0"/>
        <w:adjustRightInd w:val="0"/>
        <w:spacing w:line="240" w:lineRule="auto"/>
        <w:ind w:left="284"/>
        <w:rPr>
          <w:rFonts w:cs="Arial"/>
          <w:color w:val="000000"/>
          <w:kern w:val="0"/>
          <w:szCs w:val="22"/>
        </w:rPr>
      </w:pPr>
    </w:p>
    <w:p w14:paraId="7BF595DF" w14:textId="77777777" w:rsidR="00BE660F" w:rsidRDefault="00BE660F" w:rsidP="00482616">
      <w:pPr>
        <w:autoSpaceDE w:val="0"/>
        <w:autoSpaceDN w:val="0"/>
        <w:adjustRightInd w:val="0"/>
        <w:spacing w:line="240" w:lineRule="auto"/>
        <w:ind w:left="284"/>
        <w:rPr>
          <w:rFonts w:cs="Arial"/>
          <w:color w:val="000000"/>
          <w:kern w:val="0"/>
          <w:szCs w:val="22"/>
        </w:rPr>
      </w:pPr>
    </w:p>
    <w:p w14:paraId="1783900A" w14:textId="77777777" w:rsidR="00BE660F" w:rsidRDefault="00BE660F" w:rsidP="00482616">
      <w:pPr>
        <w:autoSpaceDE w:val="0"/>
        <w:autoSpaceDN w:val="0"/>
        <w:adjustRightInd w:val="0"/>
        <w:spacing w:line="240" w:lineRule="auto"/>
        <w:ind w:left="284"/>
        <w:rPr>
          <w:rFonts w:cs="Arial"/>
          <w:color w:val="000000"/>
          <w:kern w:val="0"/>
          <w:szCs w:val="22"/>
        </w:rPr>
      </w:pPr>
    </w:p>
    <w:p w14:paraId="2D398535" w14:textId="77777777" w:rsidR="00BE660F" w:rsidRDefault="00BE660F" w:rsidP="00482616">
      <w:pPr>
        <w:autoSpaceDE w:val="0"/>
        <w:autoSpaceDN w:val="0"/>
        <w:adjustRightInd w:val="0"/>
        <w:spacing w:line="240" w:lineRule="auto"/>
        <w:ind w:left="284"/>
        <w:rPr>
          <w:rFonts w:cs="Arial"/>
          <w:color w:val="000000"/>
          <w:kern w:val="0"/>
          <w:szCs w:val="22"/>
        </w:rPr>
      </w:pPr>
    </w:p>
    <w:p w14:paraId="12B8173A" w14:textId="77777777" w:rsidR="00BE660F" w:rsidRDefault="00BE660F" w:rsidP="00482616">
      <w:pPr>
        <w:autoSpaceDE w:val="0"/>
        <w:autoSpaceDN w:val="0"/>
        <w:adjustRightInd w:val="0"/>
        <w:spacing w:line="240" w:lineRule="auto"/>
        <w:ind w:left="284"/>
        <w:rPr>
          <w:rFonts w:cs="Arial"/>
          <w:color w:val="000000"/>
          <w:kern w:val="0"/>
          <w:szCs w:val="22"/>
        </w:rPr>
      </w:pPr>
    </w:p>
    <w:p w14:paraId="3B5FBECC" w14:textId="77777777" w:rsidR="00BE660F" w:rsidRDefault="00BE660F" w:rsidP="00482616">
      <w:pPr>
        <w:autoSpaceDE w:val="0"/>
        <w:autoSpaceDN w:val="0"/>
        <w:adjustRightInd w:val="0"/>
        <w:spacing w:line="240" w:lineRule="auto"/>
        <w:ind w:left="284"/>
        <w:rPr>
          <w:rFonts w:cs="Arial"/>
          <w:color w:val="000000"/>
          <w:kern w:val="0"/>
          <w:szCs w:val="22"/>
        </w:rPr>
      </w:pPr>
    </w:p>
    <w:p w14:paraId="632770D3" w14:textId="77777777" w:rsidR="00BE660F" w:rsidRDefault="00BE660F" w:rsidP="00482616">
      <w:pPr>
        <w:autoSpaceDE w:val="0"/>
        <w:autoSpaceDN w:val="0"/>
        <w:adjustRightInd w:val="0"/>
        <w:spacing w:line="240" w:lineRule="auto"/>
        <w:ind w:left="284"/>
        <w:rPr>
          <w:rFonts w:cs="Arial"/>
          <w:color w:val="000000"/>
          <w:kern w:val="0"/>
          <w:szCs w:val="22"/>
        </w:rPr>
      </w:pPr>
    </w:p>
    <w:p w14:paraId="7B202AE3" w14:textId="77777777" w:rsidR="00BE660F" w:rsidRDefault="00BE660F" w:rsidP="00482616">
      <w:pPr>
        <w:autoSpaceDE w:val="0"/>
        <w:autoSpaceDN w:val="0"/>
        <w:adjustRightInd w:val="0"/>
        <w:spacing w:line="240" w:lineRule="auto"/>
        <w:ind w:left="284"/>
        <w:rPr>
          <w:rFonts w:cs="Arial"/>
          <w:color w:val="000000"/>
          <w:kern w:val="0"/>
          <w:szCs w:val="22"/>
        </w:rPr>
      </w:pPr>
    </w:p>
    <w:p w14:paraId="1C1A374F" w14:textId="77777777" w:rsidR="00BE660F" w:rsidRDefault="00BE660F" w:rsidP="00482616">
      <w:pPr>
        <w:autoSpaceDE w:val="0"/>
        <w:autoSpaceDN w:val="0"/>
        <w:adjustRightInd w:val="0"/>
        <w:spacing w:line="240" w:lineRule="auto"/>
        <w:ind w:left="284"/>
        <w:rPr>
          <w:rFonts w:cs="Arial"/>
          <w:color w:val="000000"/>
          <w:kern w:val="0"/>
          <w:szCs w:val="22"/>
        </w:rPr>
      </w:pPr>
    </w:p>
    <w:p w14:paraId="34C89A75" w14:textId="77777777" w:rsidR="006F612C" w:rsidRDefault="006F612C" w:rsidP="00482616">
      <w:pPr>
        <w:autoSpaceDE w:val="0"/>
        <w:autoSpaceDN w:val="0"/>
        <w:adjustRightInd w:val="0"/>
        <w:spacing w:line="240" w:lineRule="auto"/>
        <w:ind w:left="284"/>
        <w:rPr>
          <w:rFonts w:cs="Arial"/>
          <w:color w:val="000000"/>
          <w:kern w:val="0"/>
          <w:szCs w:val="22"/>
        </w:rPr>
      </w:pPr>
    </w:p>
    <w:p w14:paraId="0EDA3C4B" w14:textId="77777777" w:rsidR="006F612C" w:rsidRDefault="006F612C" w:rsidP="00482616">
      <w:pPr>
        <w:autoSpaceDE w:val="0"/>
        <w:autoSpaceDN w:val="0"/>
        <w:adjustRightInd w:val="0"/>
        <w:spacing w:line="240" w:lineRule="auto"/>
        <w:ind w:left="284"/>
        <w:rPr>
          <w:rFonts w:cs="Arial"/>
          <w:color w:val="000000"/>
          <w:kern w:val="0"/>
          <w:szCs w:val="22"/>
        </w:rPr>
      </w:pPr>
    </w:p>
    <w:p w14:paraId="6547CF27" w14:textId="77777777" w:rsidR="006F612C" w:rsidRDefault="006F612C" w:rsidP="00482616">
      <w:pPr>
        <w:autoSpaceDE w:val="0"/>
        <w:autoSpaceDN w:val="0"/>
        <w:adjustRightInd w:val="0"/>
        <w:spacing w:line="240" w:lineRule="auto"/>
        <w:ind w:left="284"/>
        <w:rPr>
          <w:rFonts w:cs="Arial"/>
          <w:color w:val="000000"/>
          <w:kern w:val="0"/>
          <w:szCs w:val="22"/>
        </w:rPr>
      </w:pPr>
    </w:p>
    <w:p w14:paraId="0EE2F711" w14:textId="77777777" w:rsidR="006F612C" w:rsidRDefault="006F612C" w:rsidP="00482616">
      <w:pPr>
        <w:autoSpaceDE w:val="0"/>
        <w:autoSpaceDN w:val="0"/>
        <w:adjustRightInd w:val="0"/>
        <w:spacing w:line="240" w:lineRule="auto"/>
        <w:ind w:left="284"/>
        <w:rPr>
          <w:rFonts w:cs="Arial"/>
          <w:color w:val="000000"/>
          <w:kern w:val="0"/>
          <w:szCs w:val="22"/>
        </w:rPr>
      </w:pPr>
    </w:p>
    <w:p w14:paraId="342D103B" w14:textId="77777777" w:rsidR="006F612C" w:rsidRDefault="006F612C" w:rsidP="00482616">
      <w:pPr>
        <w:autoSpaceDE w:val="0"/>
        <w:autoSpaceDN w:val="0"/>
        <w:adjustRightInd w:val="0"/>
        <w:spacing w:line="240" w:lineRule="auto"/>
        <w:ind w:left="284"/>
        <w:rPr>
          <w:rFonts w:cs="Arial"/>
          <w:color w:val="000000"/>
          <w:kern w:val="0"/>
          <w:szCs w:val="22"/>
        </w:rPr>
      </w:pPr>
    </w:p>
    <w:p w14:paraId="3FD48518" w14:textId="77777777" w:rsidR="006F612C" w:rsidRDefault="006F612C" w:rsidP="00482616">
      <w:pPr>
        <w:autoSpaceDE w:val="0"/>
        <w:autoSpaceDN w:val="0"/>
        <w:adjustRightInd w:val="0"/>
        <w:spacing w:line="240" w:lineRule="auto"/>
        <w:ind w:left="284"/>
        <w:rPr>
          <w:rFonts w:cs="Arial"/>
          <w:color w:val="000000"/>
          <w:kern w:val="0"/>
          <w:szCs w:val="22"/>
        </w:rPr>
      </w:pPr>
    </w:p>
    <w:p w14:paraId="5702C581" w14:textId="77777777" w:rsidR="006F612C" w:rsidRDefault="006F612C" w:rsidP="00482616">
      <w:pPr>
        <w:autoSpaceDE w:val="0"/>
        <w:autoSpaceDN w:val="0"/>
        <w:adjustRightInd w:val="0"/>
        <w:spacing w:line="240" w:lineRule="auto"/>
        <w:ind w:left="284"/>
        <w:rPr>
          <w:rFonts w:cs="Arial"/>
          <w:color w:val="000000"/>
          <w:kern w:val="0"/>
          <w:szCs w:val="22"/>
        </w:rPr>
      </w:pPr>
    </w:p>
    <w:p w14:paraId="205FD343" w14:textId="77777777" w:rsidR="006F612C" w:rsidRDefault="006F612C" w:rsidP="00482616">
      <w:pPr>
        <w:autoSpaceDE w:val="0"/>
        <w:autoSpaceDN w:val="0"/>
        <w:adjustRightInd w:val="0"/>
        <w:spacing w:line="240" w:lineRule="auto"/>
        <w:ind w:left="284"/>
        <w:rPr>
          <w:rFonts w:cs="Arial"/>
          <w:color w:val="000000"/>
          <w:kern w:val="0"/>
          <w:szCs w:val="22"/>
        </w:rPr>
      </w:pPr>
    </w:p>
    <w:p w14:paraId="17386C50" w14:textId="77777777" w:rsidR="006F612C" w:rsidRDefault="006F612C" w:rsidP="00482616">
      <w:pPr>
        <w:autoSpaceDE w:val="0"/>
        <w:autoSpaceDN w:val="0"/>
        <w:adjustRightInd w:val="0"/>
        <w:spacing w:line="240" w:lineRule="auto"/>
        <w:ind w:left="284"/>
        <w:rPr>
          <w:rFonts w:cs="Arial"/>
          <w:color w:val="000000"/>
          <w:kern w:val="0"/>
          <w:szCs w:val="22"/>
        </w:rPr>
      </w:pPr>
    </w:p>
    <w:p w14:paraId="6A9FEAAA" w14:textId="77777777" w:rsidR="006F612C" w:rsidRDefault="006F612C" w:rsidP="00482616">
      <w:pPr>
        <w:autoSpaceDE w:val="0"/>
        <w:autoSpaceDN w:val="0"/>
        <w:adjustRightInd w:val="0"/>
        <w:spacing w:line="240" w:lineRule="auto"/>
        <w:ind w:left="284"/>
        <w:rPr>
          <w:rFonts w:cs="Arial"/>
          <w:color w:val="000000"/>
          <w:kern w:val="0"/>
          <w:szCs w:val="22"/>
        </w:rPr>
      </w:pPr>
    </w:p>
    <w:p w14:paraId="13FA5F0A" w14:textId="77777777" w:rsidR="006F612C" w:rsidRDefault="006F612C" w:rsidP="00482616">
      <w:pPr>
        <w:autoSpaceDE w:val="0"/>
        <w:autoSpaceDN w:val="0"/>
        <w:adjustRightInd w:val="0"/>
        <w:spacing w:line="240" w:lineRule="auto"/>
        <w:ind w:left="284"/>
        <w:rPr>
          <w:rFonts w:cs="Arial"/>
          <w:color w:val="000000"/>
          <w:kern w:val="0"/>
          <w:szCs w:val="22"/>
        </w:rPr>
      </w:pPr>
    </w:p>
    <w:p w14:paraId="071CCFF6" w14:textId="77777777" w:rsidR="006F612C" w:rsidRDefault="006F612C" w:rsidP="00482616">
      <w:pPr>
        <w:autoSpaceDE w:val="0"/>
        <w:autoSpaceDN w:val="0"/>
        <w:adjustRightInd w:val="0"/>
        <w:spacing w:line="240" w:lineRule="auto"/>
        <w:ind w:left="284"/>
        <w:rPr>
          <w:rFonts w:cs="Arial"/>
          <w:color w:val="000000"/>
          <w:kern w:val="0"/>
          <w:szCs w:val="22"/>
        </w:rPr>
      </w:pPr>
    </w:p>
    <w:p w14:paraId="7762D539" w14:textId="77777777" w:rsidR="006F612C" w:rsidRDefault="006F612C" w:rsidP="00482616">
      <w:pPr>
        <w:autoSpaceDE w:val="0"/>
        <w:autoSpaceDN w:val="0"/>
        <w:adjustRightInd w:val="0"/>
        <w:spacing w:line="240" w:lineRule="auto"/>
        <w:ind w:left="284"/>
        <w:rPr>
          <w:rFonts w:cs="Arial"/>
          <w:color w:val="000000"/>
          <w:kern w:val="0"/>
          <w:szCs w:val="22"/>
        </w:rPr>
      </w:pPr>
    </w:p>
    <w:p w14:paraId="259AE924" w14:textId="77777777" w:rsidR="006F612C" w:rsidRDefault="006F612C" w:rsidP="00482616">
      <w:pPr>
        <w:autoSpaceDE w:val="0"/>
        <w:autoSpaceDN w:val="0"/>
        <w:adjustRightInd w:val="0"/>
        <w:spacing w:line="240" w:lineRule="auto"/>
        <w:ind w:left="284"/>
        <w:rPr>
          <w:rFonts w:cs="Arial"/>
          <w:color w:val="000000"/>
          <w:kern w:val="0"/>
          <w:szCs w:val="22"/>
        </w:rPr>
      </w:pPr>
    </w:p>
    <w:p w14:paraId="42EEC040" w14:textId="77777777" w:rsidR="006F612C" w:rsidRDefault="006F612C" w:rsidP="00482616">
      <w:pPr>
        <w:autoSpaceDE w:val="0"/>
        <w:autoSpaceDN w:val="0"/>
        <w:adjustRightInd w:val="0"/>
        <w:spacing w:line="240" w:lineRule="auto"/>
        <w:ind w:left="284"/>
        <w:rPr>
          <w:rFonts w:cs="Arial"/>
          <w:color w:val="000000"/>
          <w:kern w:val="0"/>
          <w:szCs w:val="22"/>
        </w:rPr>
      </w:pPr>
    </w:p>
    <w:p w14:paraId="5C523D9A" w14:textId="77777777" w:rsidR="006F612C" w:rsidRDefault="006F612C" w:rsidP="00482616">
      <w:pPr>
        <w:autoSpaceDE w:val="0"/>
        <w:autoSpaceDN w:val="0"/>
        <w:adjustRightInd w:val="0"/>
        <w:spacing w:line="240" w:lineRule="auto"/>
        <w:ind w:left="284"/>
        <w:rPr>
          <w:rFonts w:cs="Arial"/>
          <w:color w:val="000000"/>
          <w:kern w:val="0"/>
          <w:szCs w:val="22"/>
        </w:rPr>
      </w:pPr>
    </w:p>
    <w:p w14:paraId="5A121B6E" w14:textId="77777777" w:rsidR="006F612C" w:rsidRDefault="006F612C" w:rsidP="00482616">
      <w:pPr>
        <w:autoSpaceDE w:val="0"/>
        <w:autoSpaceDN w:val="0"/>
        <w:adjustRightInd w:val="0"/>
        <w:spacing w:line="240" w:lineRule="auto"/>
        <w:ind w:left="284"/>
        <w:rPr>
          <w:rFonts w:cs="Arial"/>
          <w:color w:val="000000"/>
          <w:kern w:val="0"/>
          <w:szCs w:val="22"/>
        </w:rPr>
      </w:pPr>
    </w:p>
    <w:p w14:paraId="03B326AD" w14:textId="77777777" w:rsidR="006F612C" w:rsidRDefault="006F612C" w:rsidP="00482616">
      <w:pPr>
        <w:autoSpaceDE w:val="0"/>
        <w:autoSpaceDN w:val="0"/>
        <w:adjustRightInd w:val="0"/>
        <w:spacing w:line="240" w:lineRule="auto"/>
        <w:ind w:left="284"/>
        <w:rPr>
          <w:rFonts w:cs="Arial"/>
          <w:color w:val="000000"/>
          <w:kern w:val="0"/>
          <w:szCs w:val="22"/>
        </w:rPr>
      </w:pPr>
    </w:p>
    <w:p w14:paraId="0ADF7AEA" w14:textId="77777777" w:rsidR="006F612C" w:rsidRDefault="006F612C" w:rsidP="00482616">
      <w:pPr>
        <w:autoSpaceDE w:val="0"/>
        <w:autoSpaceDN w:val="0"/>
        <w:adjustRightInd w:val="0"/>
        <w:spacing w:line="240" w:lineRule="auto"/>
        <w:ind w:left="284"/>
        <w:rPr>
          <w:rFonts w:cs="Arial"/>
          <w:color w:val="000000"/>
          <w:kern w:val="0"/>
          <w:szCs w:val="22"/>
        </w:rPr>
      </w:pPr>
    </w:p>
    <w:p w14:paraId="3A7B2219" w14:textId="77777777" w:rsidR="006F612C" w:rsidRDefault="006F612C" w:rsidP="00482616">
      <w:pPr>
        <w:autoSpaceDE w:val="0"/>
        <w:autoSpaceDN w:val="0"/>
        <w:adjustRightInd w:val="0"/>
        <w:spacing w:line="240" w:lineRule="auto"/>
        <w:ind w:left="284"/>
        <w:rPr>
          <w:rFonts w:cs="Arial"/>
          <w:color w:val="000000"/>
          <w:kern w:val="0"/>
          <w:szCs w:val="22"/>
        </w:rPr>
      </w:pPr>
    </w:p>
    <w:p w14:paraId="20D7F0AD" w14:textId="77777777" w:rsidR="006F612C" w:rsidRDefault="006F612C" w:rsidP="00482616">
      <w:pPr>
        <w:autoSpaceDE w:val="0"/>
        <w:autoSpaceDN w:val="0"/>
        <w:adjustRightInd w:val="0"/>
        <w:spacing w:line="240" w:lineRule="auto"/>
        <w:ind w:left="284"/>
        <w:rPr>
          <w:rFonts w:cs="Arial"/>
          <w:color w:val="000000"/>
          <w:kern w:val="0"/>
          <w:szCs w:val="22"/>
        </w:rPr>
      </w:pPr>
    </w:p>
    <w:p w14:paraId="1738DD4A" w14:textId="77777777" w:rsidR="006F612C" w:rsidRDefault="006F612C" w:rsidP="00482616">
      <w:pPr>
        <w:autoSpaceDE w:val="0"/>
        <w:autoSpaceDN w:val="0"/>
        <w:adjustRightInd w:val="0"/>
        <w:spacing w:line="240" w:lineRule="auto"/>
        <w:ind w:left="284"/>
        <w:rPr>
          <w:rFonts w:cs="Arial"/>
          <w:color w:val="000000"/>
          <w:kern w:val="0"/>
          <w:szCs w:val="22"/>
        </w:rPr>
      </w:pPr>
    </w:p>
    <w:p w14:paraId="7B8E1B73" w14:textId="77777777" w:rsidR="006F612C" w:rsidRDefault="006F612C" w:rsidP="00482616">
      <w:pPr>
        <w:autoSpaceDE w:val="0"/>
        <w:autoSpaceDN w:val="0"/>
        <w:adjustRightInd w:val="0"/>
        <w:spacing w:line="240" w:lineRule="auto"/>
        <w:ind w:left="284"/>
        <w:rPr>
          <w:rFonts w:cs="Arial"/>
          <w:color w:val="000000"/>
          <w:kern w:val="0"/>
          <w:szCs w:val="22"/>
        </w:rPr>
      </w:pPr>
    </w:p>
    <w:p w14:paraId="15BFF421" w14:textId="77777777" w:rsidR="006F612C" w:rsidRDefault="006F612C" w:rsidP="00482616">
      <w:pPr>
        <w:autoSpaceDE w:val="0"/>
        <w:autoSpaceDN w:val="0"/>
        <w:adjustRightInd w:val="0"/>
        <w:spacing w:line="240" w:lineRule="auto"/>
        <w:ind w:left="284"/>
        <w:rPr>
          <w:rFonts w:cs="Arial"/>
          <w:color w:val="000000"/>
          <w:kern w:val="0"/>
          <w:szCs w:val="22"/>
        </w:rPr>
      </w:pPr>
    </w:p>
    <w:p w14:paraId="00055874" w14:textId="77777777" w:rsidR="006F612C" w:rsidRDefault="006F612C" w:rsidP="00482616">
      <w:pPr>
        <w:autoSpaceDE w:val="0"/>
        <w:autoSpaceDN w:val="0"/>
        <w:adjustRightInd w:val="0"/>
        <w:spacing w:line="240" w:lineRule="auto"/>
        <w:ind w:left="284"/>
        <w:rPr>
          <w:rFonts w:cs="Arial"/>
          <w:color w:val="000000"/>
          <w:kern w:val="0"/>
          <w:szCs w:val="22"/>
        </w:rPr>
      </w:pPr>
    </w:p>
    <w:p w14:paraId="681F1209" w14:textId="77777777" w:rsidR="006F612C" w:rsidRDefault="006F612C" w:rsidP="00482616">
      <w:pPr>
        <w:autoSpaceDE w:val="0"/>
        <w:autoSpaceDN w:val="0"/>
        <w:adjustRightInd w:val="0"/>
        <w:spacing w:line="240" w:lineRule="auto"/>
        <w:ind w:left="284"/>
        <w:rPr>
          <w:rFonts w:cs="Arial"/>
          <w:color w:val="000000"/>
          <w:kern w:val="0"/>
          <w:szCs w:val="22"/>
        </w:rPr>
      </w:pPr>
    </w:p>
    <w:p w14:paraId="0B03D072" w14:textId="77777777" w:rsidR="006F612C" w:rsidRDefault="006F612C" w:rsidP="00482616">
      <w:pPr>
        <w:autoSpaceDE w:val="0"/>
        <w:autoSpaceDN w:val="0"/>
        <w:adjustRightInd w:val="0"/>
        <w:spacing w:line="240" w:lineRule="auto"/>
        <w:ind w:left="284"/>
        <w:rPr>
          <w:rFonts w:cs="Arial"/>
          <w:color w:val="000000"/>
          <w:kern w:val="0"/>
          <w:szCs w:val="22"/>
        </w:rPr>
      </w:pPr>
    </w:p>
    <w:p w14:paraId="2C605957" w14:textId="77777777" w:rsidR="006F612C" w:rsidRDefault="006F612C" w:rsidP="006F612C">
      <w:pPr>
        <w:pStyle w:val="Heading1"/>
        <w:rPr>
          <w:lang w:val="en-US"/>
        </w:rPr>
      </w:pPr>
      <w:bookmarkStart w:id="26" w:name="_Toc26869255"/>
      <w:r>
        <w:rPr>
          <w:lang w:val="en-US"/>
        </w:rPr>
        <w:lastRenderedPageBreak/>
        <w:t>APPENDIX 3</w:t>
      </w:r>
      <w:bookmarkEnd w:id="26"/>
    </w:p>
    <w:p w14:paraId="075033BA" w14:textId="77777777" w:rsidR="006F612C" w:rsidRDefault="006F612C" w:rsidP="006F612C">
      <w:pPr>
        <w:rPr>
          <w:lang w:val="en-US"/>
        </w:rPr>
      </w:pPr>
    </w:p>
    <w:p w14:paraId="2ADD273C" w14:textId="77777777" w:rsidR="006F612C" w:rsidRPr="006F612C" w:rsidRDefault="006F612C" w:rsidP="006F612C">
      <w:pPr>
        <w:pStyle w:val="NoSpacing"/>
        <w:spacing w:line="240" w:lineRule="auto"/>
        <w:jc w:val="center"/>
        <w:rPr>
          <w:rFonts w:ascii="Arial" w:hAnsi="Arial" w:cs="Arial"/>
          <w:b/>
        </w:rPr>
      </w:pPr>
      <w:r w:rsidRPr="006F612C">
        <w:rPr>
          <w:rFonts w:ascii="Arial" w:hAnsi="Arial" w:cs="Arial"/>
          <w:b/>
        </w:rPr>
        <w:t>NEL CCG NHS Continuing Healthcare &amp; Transition Planning Process</w:t>
      </w:r>
    </w:p>
    <w:p w14:paraId="0136F946" w14:textId="77777777" w:rsidR="006F612C" w:rsidRDefault="006F612C" w:rsidP="006F612C">
      <w:pPr>
        <w:pStyle w:val="NoSpacing"/>
        <w:spacing w:line="240" w:lineRule="auto"/>
        <w:rPr>
          <w:rFonts w:ascii="Arial" w:hAnsi="Arial" w:cs="Arial"/>
        </w:rPr>
      </w:pPr>
    </w:p>
    <w:p w14:paraId="3505A90E" w14:textId="77777777" w:rsidR="006F612C" w:rsidRDefault="006F612C" w:rsidP="006F612C">
      <w:pPr>
        <w:pStyle w:val="NoSpacing"/>
        <w:spacing w:line="240" w:lineRule="auto"/>
        <w:rPr>
          <w:rFonts w:ascii="Arial" w:hAnsi="Arial" w:cs="Arial"/>
        </w:rPr>
      </w:pPr>
      <w:r w:rsidRPr="006F612C">
        <w:rPr>
          <w:rFonts w:ascii="Arial" w:hAnsi="Arial" w:cs="Arial"/>
        </w:rPr>
        <w:t>At age 14 Children’s CHC Team should identify young people who are currently eligible for Children’s CHC and/or likely to be eligible for adult CHC</w:t>
      </w:r>
      <w:r>
        <w:rPr>
          <w:rFonts w:ascii="Arial" w:hAnsi="Arial" w:cs="Arial"/>
        </w:rPr>
        <w:t>.</w:t>
      </w:r>
      <w:r w:rsidRPr="006F612C">
        <w:rPr>
          <w:rFonts w:ascii="Arial" w:hAnsi="Arial" w:cs="Arial"/>
        </w:rPr>
        <w:t xml:space="preserve"> </w:t>
      </w:r>
      <w:r>
        <w:rPr>
          <w:rFonts w:ascii="Arial" w:hAnsi="Arial" w:cs="Arial"/>
        </w:rPr>
        <w:t xml:space="preserve"> </w:t>
      </w:r>
      <w:r w:rsidRPr="006F612C">
        <w:rPr>
          <w:rFonts w:ascii="Arial" w:hAnsi="Arial" w:cs="Arial"/>
        </w:rPr>
        <w:t>This is undertaken by joint annual review between Children’s and Adult CHC Senior/Specialist Nurses.</w:t>
      </w:r>
    </w:p>
    <w:p w14:paraId="35334186" w14:textId="77777777" w:rsidR="006F612C" w:rsidRPr="006F612C" w:rsidRDefault="006F612C" w:rsidP="006F612C">
      <w:pPr>
        <w:pStyle w:val="NoSpacing"/>
        <w:spacing w:line="120" w:lineRule="auto"/>
        <w:rPr>
          <w:rFonts w:ascii="Arial" w:hAnsi="Arial" w:cs="Arial"/>
        </w:rPr>
      </w:pPr>
    </w:p>
    <w:p w14:paraId="0A6582F1" w14:textId="77777777" w:rsidR="006F612C" w:rsidRDefault="006F612C" w:rsidP="006F612C">
      <w:pPr>
        <w:pStyle w:val="NoSpacing"/>
        <w:spacing w:line="240" w:lineRule="auto"/>
        <w:rPr>
          <w:rFonts w:ascii="Arial" w:hAnsi="Arial" w:cs="Arial"/>
        </w:rPr>
      </w:pPr>
      <w:r w:rsidRPr="006F612C">
        <w:rPr>
          <w:rFonts w:ascii="Arial" w:hAnsi="Arial" w:cs="Arial"/>
        </w:rPr>
        <w:t>Following annual review relevant children are added to the Adult S1 CHC module with a front page note on their status and to be referred directly to adult CHC at transition/screening stage.</w:t>
      </w:r>
    </w:p>
    <w:p w14:paraId="735D1DCB" w14:textId="77777777" w:rsidR="006F612C" w:rsidRPr="006F612C" w:rsidRDefault="006F612C" w:rsidP="006F612C">
      <w:pPr>
        <w:pStyle w:val="NoSpacing"/>
        <w:spacing w:line="120" w:lineRule="auto"/>
        <w:rPr>
          <w:rFonts w:ascii="Arial" w:hAnsi="Arial" w:cs="Arial"/>
        </w:rPr>
      </w:pPr>
    </w:p>
    <w:p w14:paraId="564CECD1" w14:textId="77777777" w:rsidR="006F612C" w:rsidRDefault="006F612C" w:rsidP="006F612C">
      <w:pPr>
        <w:pStyle w:val="NoSpacing"/>
        <w:spacing w:line="240" w:lineRule="auto"/>
        <w:rPr>
          <w:rFonts w:ascii="Arial" w:hAnsi="Arial" w:cs="Arial"/>
        </w:rPr>
      </w:pPr>
      <w:r w:rsidRPr="006F612C">
        <w:rPr>
          <w:rFonts w:ascii="Arial" w:hAnsi="Arial" w:cs="Arial"/>
        </w:rPr>
        <w:t>Transition team are notified annually.</w:t>
      </w:r>
    </w:p>
    <w:p w14:paraId="6025FE17" w14:textId="77777777" w:rsidR="006F612C" w:rsidRPr="006F612C" w:rsidRDefault="006F612C" w:rsidP="006F612C">
      <w:pPr>
        <w:pStyle w:val="NoSpacing"/>
        <w:spacing w:line="120" w:lineRule="auto"/>
        <w:rPr>
          <w:rFonts w:ascii="Arial" w:hAnsi="Arial" w:cs="Arial"/>
        </w:rPr>
      </w:pPr>
    </w:p>
    <w:p w14:paraId="2C91B556" w14:textId="77777777" w:rsidR="006F612C" w:rsidRDefault="006F612C" w:rsidP="006F612C">
      <w:pPr>
        <w:pStyle w:val="NoSpacing"/>
        <w:spacing w:line="240" w:lineRule="auto"/>
        <w:rPr>
          <w:rFonts w:ascii="Arial" w:hAnsi="Arial" w:cs="Arial"/>
        </w:rPr>
      </w:pPr>
      <w:r>
        <w:rPr>
          <w:rFonts w:ascii="Arial" w:hAnsi="Arial" w:cs="Arial"/>
        </w:rPr>
        <w:t>NB:</w:t>
      </w:r>
    </w:p>
    <w:p w14:paraId="6CE67D2E" w14:textId="77777777" w:rsidR="006F612C" w:rsidRDefault="006F612C" w:rsidP="006F612C">
      <w:pPr>
        <w:pStyle w:val="NoSpacing"/>
        <w:spacing w:line="240" w:lineRule="auto"/>
        <w:rPr>
          <w:rFonts w:ascii="Arial" w:hAnsi="Arial" w:cs="Arial"/>
        </w:rPr>
      </w:pPr>
      <w:r w:rsidRPr="006F612C">
        <w:rPr>
          <w:rFonts w:ascii="Arial" w:hAnsi="Arial" w:cs="Arial"/>
        </w:rPr>
        <w:t>Some children will not be required to have a NHS Checklist or DST until after their 18 birthday due to the nature of their needs or deterioration in health. Adult CHC will take automatic funding responsibility if already assessed as eligible for children’s CHC funding, if necessary these young people will have an adult CHC assessment later, or be fast tracked if appropriate.</w:t>
      </w:r>
    </w:p>
    <w:p w14:paraId="615D3EDA" w14:textId="77777777" w:rsidR="006F612C" w:rsidRPr="006F612C" w:rsidRDefault="006F612C" w:rsidP="006F612C">
      <w:pPr>
        <w:pStyle w:val="NoSpacing"/>
        <w:spacing w:line="120" w:lineRule="auto"/>
        <w:rPr>
          <w:rFonts w:ascii="Arial" w:hAnsi="Arial" w:cs="Arial"/>
        </w:rPr>
      </w:pPr>
    </w:p>
    <w:p w14:paraId="514115D3" w14:textId="77777777" w:rsidR="006F612C" w:rsidRPr="006F612C" w:rsidRDefault="006F612C" w:rsidP="006F612C">
      <w:pPr>
        <w:pStyle w:val="NoSpacing"/>
        <w:spacing w:line="240" w:lineRule="auto"/>
        <w:rPr>
          <w:rFonts w:ascii="Arial" w:hAnsi="Arial" w:cs="Arial"/>
        </w:rPr>
      </w:pPr>
      <w:r w:rsidRPr="006F612C">
        <w:rPr>
          <w:rFonts w:ascii="Arial" w:hAnsi="Arial" w:cs="Arial"/>
        </w:rPr>
        <w:t>At age 16 a NHS Checklist should be completed for those children not identified by the Children’s CHC team screening via the transition team completing an NHS Checklist where relevant.</w:t>
      </w:r>
    </w:p>
    <w:p w14:paraId="48EF1751" w14:textId="77777777" w:rsidR="006F612C" w:rsidRPr="006F612C" w:rsidRDefault="006F612C" w:rsidP="006F612C">
      <w:pPr>
        <w:pStyle w:val="NoSpacing"/>
        <w:spacing w:line="120" w:lineRule="auto"/>
        <w:rPr>
          <w:rFonts w:eastAsia="Times New Roman"/>
        </w:rPr>
      </w:pPr>
    </w:p>
    <w:p w14:paraId="175E6C33" w14:textId="77777777" w:rsidR="006F612C" w:rsidRDefault="006F612C" w:rsidP="006F612C">
      <w:pPr>
        <w:spacing w:line="240" w:lineRule="auto"/>
      </w:pPr>
      <w:r w:rsidRPr="006F612C">
        <w:t xml:space="preserve">Adult Social Care (A3 team) will triage transition referrals to adult social care and will only complete Care Act Assessment if they consider child does not meet </w:t>
      </w:r>
      <w:proofErr w:type="spellStart"/>
      <w:r w:rsidRPr="006F612C">
        <w:t>DoH</w:t>
      </w:r>
      <w:proofErr w:type="spellEnd"/>
      <w:r w:rsidRPr="006F612C">
        <w:t xml:space="preserve"> threshold for proceeding to a DST.</w:t>
      </w:r>
    </w:p>
    <w:p w14:paraId="1C6997FA" w14:textId="77777777" w:rsidR="006F612C" w:rsidRPr="006F612C" w:rsidRDefault="006F612C" w:rsidP="006F612C">
      <w:pPr>
        <w:pStyle w:val="NoSpacing"/>
        <w:spacing w:line="120" w:lineRule="auto"/>
        <w:rPr>
          <w:rFonts w:eastAsia="Times New Roman"/>
        </w:rPr>
      </w:pPr>
    </w:p>
    <w:p w14:paraId="19F8152F" w14:textId="77777777" w:rsidR="006F612C" w:rsidRPr="006F612C" w:rsidRDefault="006F612C" w:rsidP="006F612C">
      <w:pPr>
        <w:spacing w:line="240" w:lineRule="auto"/>
      </w:pPr>
      <w:r w:rsidRPr="006F612C">
        <w:t>A3 will triage referrals and request a checklist from Children’s Services before this will progress a referral any further.</w:t>
      </w:r>
    </w:p>
    <w:p w14:paraId="5D516ADD" w14:textId="77777777" w:rsidR="006F612C" w:rsidRPr="006F612C" w:rsidRDefault="006F612C" w:rsidP="006F612C">
      <w:pPr>
        <w:pStyle w:val="NoSpacing"/>
        <w:spacing w:line="120" w:lineRule="auto"/>
        <w:rPr>
          <w:rFonts w:eastAsia="Times New Roman"/>
        </w:rPr>
      </w:pPr>
    </w:p>
    <w:p w14:paraId="177D825E" w14:textId="77777777" w:rsidR="006F612C" w:rsidRPr="006F612C" w:rsidRDefault="006F612C" w:rsidP="006F612C">
      <w:pPr>
        <w:spacing w:line="240" w:lineRule="auto"/>
      </w:pPr>
      <w:r w:rsidRPr="006F612C">
        <w:t xml:space="preserve">All completed checklists, positive or negative are required to be submitted to the adult CHC team. </w:t>
      </w:r>
      <w:r>
        <w:t xml:space="preserve"> </w:t>
      </w:r>
      <w:r w:rsidRPr="006F612C">
        <w:t xml:space="preserve">An ASC worker will be required to work jointly with colleagues in health. </w:t>
      </w:r>
    </w:p>
    <w:p w14:paraId="44FF2112" w14:textId="77777777" w:rsidR="006F612C" w:rsidRPr="006F612C" w:rsidRDefault="006F612C" w:rsidP="006F612C">
      <w:pPr>
        <w:pStyle w:val="NoSpacing"/>
        <w:spacing w:line="120" w:lineRule="auto"/>
        <w:rPr>
          <w:rFonts w:eastAsia="Times New Roman"/>
        </w:rPr>
      </w:pPr>
    </w:p>
    <w:p w14:paraId="0AA48FFA" w14:textId="77777777" w:rsidR="006F612C" w:rsidRPr="006F612C" w:rsidRDefault="006F612C" w:rsidP="006F612C">
      <w:pPr>
        <w:spacing w:line="240" w:lineRule="auto"/>
      </w:pPr>
      <w:r w:rsidRPr="006F612C">
        <w:t xml:space="preserve">At age 17 </w:t>
      </w:r>
      <w:r>
        <w:t xml:space="preserve">a </w:t>
      </w:r>
      <w:r w:rsidRPr="006F612C">
        <w:t xml:space="preserve">NHS Decision Support Tool (DST) will be required to determine eligibility for adult CHC, a decision should be given in principle by </w:t>
      </w:r>
      <w:r>
        <w:t xml:space="preserve">the </w:t>
      </w:r>
      <w:r w:rsidRPr="006F612C">
        <w:t xml:space="preserve">relevant CCG with a copy of the comprehensive Support Plan identifying how needs will be met. </w:t>
      </w:r>
    </w:p>
    <w:p w14:paraId="66341487" w14:textId="77777777" w:rsidR="006F612C" w:rsidRPr="006F612C" w:rsidRDefault="006F612C" w:rsidP="006F612C">
      <w:pPr>
        <w:pStyle w:val="NoSpacing"/>
        <w:spacing w:line="120" w:lineRule="auto"/>
        <w:rPr>
          <w:rFonts w:eastAsia="Times New Roman"/>
        </w:rPr>
      </w:pPr>
    </w:p>
    <w:p w14:paraId="77046D69" w14:textId="77777777" w:rsidR="006F612C" w:rsidRPr="006F612C" w:rsidRDefault="006F612C" w:rsidP="006F612C">
      <w:pPr>
        <w:spacing w:line="240" w:lineRule="auto"/>
      </w:pPr>
      <w:r w:rsidRPr="006F612C">
        <w:t>Where needs may change, it may be appropriate to make a provisional decision and review two months prior to 18th birthday, all relevant documentation to be resubmitted.</w:t>
      </w:r>
      <w:r>
        <w:t xml:space="preserve">  </w:t>
      </w:r>
      <w:r w:rsidRPr="006F612C">
        <w:t xml:space="preserve">At this point, a decision will be made about whether health or social care will take the lead responsibility. </w:t>
      </w:r>
    </w:p>
    <w:p w14:paraId="7FE64456" w14:textId="77777777" w:rsidR="006F612C" w:rsidRPr="006F612C" w:rsidRDefault="006F612C" w:rsidP="006F612C">
      <w:pPr>
        <w:pStyle w:val="NoSpacing"/>
        <w:spacing w:line="120" w:lineRule="auto"/>
        <w:rPr>
          <w:rFonts w:eastAsia="Times New Roman"/>
        </w:rPr>
      </w:pPr>
    </w:p>
    <w:p w14:paraId="3FD8865C" w14:textId="77777777" w:rsidR="006F612C" w:rsidRDefault="006F612C" w:rsidP="006F612C">
      <w:pPr>
        <w:spacing w:line="240" w:lineRule="auto"/>
      </w:pPr>
      <w:r>
        <w:t>NB:</w:t>
      </w:r>
      <w:r w:rsidRPr="006F612C">
        <w:t xml:space="preserve"> </w:t>
      </w:r>
    </w:p>
    <w:p w14:paraId="70A75FA5" w14:textId="77777777" w:rsidR="006F612C" w:rsidRPr="006F612C" w:rsidRDefault="006F612C" w:rsidP="006F612C">
      <w:pPr>
        <w:spacing w:line="240" w:lineRule="auto"/>
      </w:pPr>
      <w:r>
        <w:t>A</w:t>
      </w:r>
      <w:r w:rsidRPr="006F612C">
        <w:t>s identified above some children will be notified of a decision in principle prior to completion of a DST and prior to their 17</w:t>
      </w:r>
      <w:r w:rsidRPr="006F612C">
        <w:rPr>
          <w:vertAlign w:val="superscript"/>
        </w:rPr>
        <w:t>th</w:t>
      </w:r>
      <w:r w:rsidRPr="006F612C">
        <w:t xml:space="preserve"> birthday.</w:t>
      </w:r>
    </w:p>
    <w:p w14:paraId="600D302E" w14:textId="77777777" w:rsidR="006F612C" w:rsidRPr="006F612C" w:rsidRDefault="006F612C" w:rsidP="006F612C">
      <w:pPr>
        <w:pStyle w:val="NoSpacing"/>
        <w:spacing w:line="120" w:lineRule="auto"/>
        <w:rPr>
          <w:rFonts w:eastAsia="Times New Roman"/>
        </w:rPr>
      </w:pPr>
    </w:p>
    <w:p w14:paraId="74FE3CA2" w14:textId="77777777" w:rsidR="006F612C" w:rsidRDefault="006F612C" w:rsidP="006F612C">
      <w:pPr>
        <w:spacing w:line="240" w:lineRule="auto"/>
      </w:pPr>
      <w:r w:rsidRPr="006F612C">
        <w:t>At age 18</w:t>
      </w:r>
      <w:r w:rsidRPr="006F612C">
        <w:rPr>
          <w:b/>
        </w:rPr>
        <w:t xml:space="preserve"> </w:t>
      </w:r>
      <w:r w:rsidRPr="006F612C">
        <w:t>assessed package of care is commissioned.</w:t>
      </w:r>
    </w:p>
    <w:p w14:paraId="58691095" w14:textId="77777777" w:rsidR="006F612C" w:rsidRPr="006F612C" w:rsidRDefault="006F612C" w:rsidP="006F612C">
      <w:pPr>
        <w:pStyle w:val="NoSpacing"/>
        <w:spacing w:line="120" w:lineRule="auto"/>
        <w:rPr>
          <w:rFonts w:eastAsia="Times New Roman"/>
        </w:rPr>
      </w:pPr>
    </w:p>
    <w:p w14:paraId="51ADF62D" w14:textId="77777777" w:rsidR="006F612C" w:rsidRDefault="006F612C" w:rsidP="006F612C">
      <w:pPr>
        <w:spacing w:line="240" w:lineRule="auto"/>
      </w:pPr>
      <w:r w:rsidRPr="006F612C">
        <w:t>CHC will manage cases that are fully funded however, may still require some assistance from A</w:t>
      </w:r>
      <w:r>
        <w:t xml:space="preserve">dult </w:t>
      </w:r>
      <w:r w:rsidRPr="006F612C">
        <w:t>S</w:t>
      </w:r>
      <w:r>
        <w:t xml:space="preserve">ocial </w:t>
      </w:r>
      <w:r w:rsidRPr="006F612C">
        <w:t>C</w:t>
      </w:r>
      <w:r>
        <w:t>are</w:t>
      </w:r>
      <w:r w:rsidRPr="006F612C">
        <w:t xml:space="preserve"> for data inputting or assisting with needs, which remain within L</w:t>
      </w:r>
      <w:r>
        <w:t xml:space="preserve">ocal </w:t>
      </w:r>
      <w:r w:rsidRPr="006F612C">
        <w:t>A</w:t>
      </w:r>
      <w:r>
        <w:t>uthority</w:t>
      </w:r>
      <w:r w:rsidRPr="006F612C">
        <w:t xml:space="preserve"> responsibility, e.g. accommodation, carer’s services etc.</w:t>
      </w:r>
    </w:p>
    <w:p w14:paraId="19C9F238" w14:textId="77777777" w:rsidR="006F612C" w:rsidRPr="006F612C" w:rsidRDefault="006F612C" w:rsidP="006F612C">
      <w:pPr>
        <w:pStyle w:val="NoSpacing"/>
        <w:spacing w:line="120" w:lineRule="auto"/>
        <w:rPr>
          <w:rFonts w:eastAsia="Times New Roman"/>
        </w:rPr>
      </w:pPr>
    </w:p>
    <w:p w14:paraId="735E07F6" w14:textId="77777777" w:rsidR="006F612C" w:rsidRPr="006F612C" w:rsidRDefault="006F612C" w:rsidP="006F612C">
      <w:pPr>
        <w:spacing w:line="240" w:lineRule="auto"/>
        <w:rPr>
          <w:lang w:val="en-US"/>
        </w:rPr>
      </w:pPr>
      <w:r w:rsidRPr="006F612C">
        <w:t>Reviews will take place in line with national framework for Adult NHS CHC.</w:t>
      </w:r>
    </w:p>
    <w:p w14:paraId="79645C5A" w14:textId="77777777" w:rsidR="006F612C" w:rsidRDefault="006F612C" w:rsidP="006F612C">
      <w:pPr>
        <w:autoSpaceDE w:val="0"/>
        <w:autoSpaceDN w:val="0"/>
        <w:adjustRightInd w:val="0"/>
        <w:spacing w:line="240" w:lineRule="auto"/>
        <w:ind w:left="284"/>
        <w:rPr>
          <w:rFonts w:cs="Arial"/>
          <w:color w:val="000000"/>
          <w:kern w:val="0"/>
          <w:szCs w:val="22"/>
        </w:rPr>
      </w:pPr>
    </w:p>
    <w:p w14:paraId="1A37EFCB" w14:textId="77777777" w:rsidR="00BE660F" w:rsidRDefault="00BE660F" w:rsidP="006F612C">
      <w:pPr>
        <w:autoSpaceDE w:val="0"/>
        <w:autoSpaceDN w:val="0"/>
        <w:adjustRightInd w:val="0"/>
        <w:spacing w:line="240" w:lineRule="auto"/>
        <w:ind w:left="284"/>
        <w:rPr>
          <w:rFonts w:cs="Arial"/>
          <w:color w:val="000000"/>
          <w:kern w:val="0"/>
          <w:szCs w:val="22"/>
        </w:rPr>
      </w:pPr>
    </w:p>
    <w:p w14:paraId="6EF70567" w14:textId="77777777" w:rsidR="00D738F1" w:rsidRPr="0004255F" w:rsidRDefault="00D738F1" w:rsidP="00D738F1">
      <w:pPr>
        <w:autoSpaceDE w:val="0"/>
        <w:autoSpaceDN w:val="0"/>
        <w:adjustRightInd w:val="0"/>
        <w:spacing w:line="240" w:lineRule="auto"/>
        <w:ind w:left="284"/>
        <w:jc w:val="center"/>
        <w:rPr>
          <w:rFonts w:cs="Arial"/>
          <w:color w:val="000000"/>
          <w:kern w:val="0"/>
          <w:szCs w:val="22"/>
        </w:rPr>
      </w:pPr>
    </w:p>
    <w:sectPr w:rsidR="00D738F1" w:rsidRPr="0004255F" w:rsidSect="00C413EF">
      <w:pgSz w:w="11906" w:h="16838"/>
      <w:pgMar w:top="1440" w:right="1440" w:bottom="1440" w:left="1440" w:header="709" w:footer="709" w:gutter="0"/>
      <w:cols w:space="72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4AFFB" w14:textId="77777777" w:rsidR="000A6BA9" w:rsidRDefault="000A6BA9">
      <w:r>
        <w:separator/>
      </w:r>
    </w:p>
  </w:endnote>
  <w:endnote w:type="continuationSeparator" w:id="0">
    <w:p w14:paraId="1310F22B" w14:textId="77777777" w:rsidR="000A6BA9" w:rsidRDefault="000A6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font279">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A4420" w14:textId="77777777" w:rsidR="002C17BA" w:rsidRDefault="002C17BA">
    <w:pPr>
      <w:pStyle w:val="Footer"/>
    </w:pPr>
    <w:r>
      <w:rPr>
        <w:sz w:val="16"/>
        <w:szCs w:val="16"/>
      </w:rPr>
      <w:tab/>
    </w:r>
    <w:r>
      <w:rPr>
        <w:sz w:val="16"/>
        <w:szCs w:val="16"/>
      </w:rPr>
      <w:tab/>
      <w:t xml:space="preserve">                 Page </w:t>
    </w:r>
    <w:r>
      <w:rPr>
        <w:bCs/>
        <w:sz w:val="16"/>
        <w:szCs w:val="16"/>
      </w:rPr>
      <w:fldChar w:fldCharType="begin"/>
    </w:r>
    <w:r>
      <w:rPr>
        <w:bCs/>
        <w:sz w:val="16"/>
        <w:szCs w:val="16"/>
      </w:rPr>
      <w:instrText xml:space="preserve"> PAGE </w:instrText>
    </w:r>
    <w:r>
      <w:rPr>
        <w:bCs/>
        <w:sz w:val="16"/>
        <w:szCs w:val="16"/>
      </w:rPr>
      <w:fldChar w:fldCharType="separate"/>
    </w:r>
    <w:r w:rsidR="00B72A5F">
      <w:rPr>
        <w:bCs/>
        <w:noProof/>
        <w:sz w:val="16"/>
        <w:szCs w:val="16"/>
      </w:rPr>
      <w:t>6</w:t>
    </w:r>
    <w:r>
      <w:rPr>
        <w:bCs/>
        <w:sz w:val="16"/>
        <w:szCs w:val="16"/>
      </w:rPr>
      <w:fldChar w:fldCharType="end"/>
    </w:r>
    <w:r>
      <w:rPr>
        <w:sz w:val="16"/>
        <w:szCs w:val="16"/>
      </w:rPr>
      <w:t xml:space="preserve"> of </w:t>
    </w:r>
    <w:r>
      <w:rPr>
        <w:bCs/>
        <w:sz w:val="16"/>
        <w:szCs w:val="16"/>
      </w:rPr>
      <w:fldChar w:fldCharType="begin"/>
    </w:r>
    <w:r>
      <w:rPr>
        <w:bCs/>
        <w:sz w:val="16"/>
        <w:szCs w:val="16"/>
      </w:rPr>
      <w:instrText xml:space="preserve"> NUMPAGES </w:instrText>
    </w:r>
    <w:r>
      <w:rPr>
        <w:bCs/>
        <w:sz w:val="16"/>
        <w:szCs w:val="16"/>
      </w:rPr>
      <w:fldChar w:fldCharType="separate"/>
    </w:r>
    <w:r w:rsidR="00B72A5F">
      <w:rPr>
        <w:bCs/>
        <w:noProof/>
        <w:sz w:val="16"/>
        <w:szCs w:val="16"/>
      </w:rPr>
      <w:t>25</w:t>
    </w:r>
    <w:r>
      <w:rPr>
        <w:bCs/>
        <w:sz w:val="16"/>
        <w:szCs w:val="16"/>
      </w:rPr>
      <w:fldChar w:fldCharType="end"/>
    </w:r>
  </w:p>
  <w:p w14:paraId="61B44F6C" w14:textId="77777777" w:rsidR="002C17BA" w:rsidRDefault="002C1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0E1CF" w14:textId="77777777" w:rsidR="000A6BA9" w:rsidRDefault="000A6BA9">
      <w:r>
        <w:separator/>
      </w:r>
    </w:p>
  </w:footnote>
  <w:footnote w:type="continuationSeparator" w:id="0">
    <w:p w14:paraId="47463F85" w14:textId="77777777" w:rsidR="000A6BA9" w:rsidRDefault="000A6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D37F3" w14:textId="77777777" w:rsidR="002C17BA" w:rsidRDefault="002C17BA" w:rsidP="00C413EF">
    <w:pPr>
      <w:pStyle w:val="Header"/>
      <w:jc w:val="right"/>
    </w:pPr>
    <w:r w:rsidRPr="00637A99">
      <w:rPr>
        <w:noProof/>
      </w:rPr>
      <w:drawing>
        <wp:inline distT="0" distB="0" distL="0" distR="0" wp14:anchorId="636126B5" wp14:editId="270FBA49">
          <wp:extent cx="1904365" cy="808355"/>
          <wp:effectExtent l="0" t="0" r="0" b="0"/>
          <wp:docPr id="6" name="Picture 2" descr="NEL CC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NEL CC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4365" cy="8083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938F6" w14:textId="77777777" w:rsidR="002C17BA" w:rsidRDefault="002C17BA">
    <w:pPr>
      <w:pStyle w:val="Header"/>
      <w:jc w:val="right"/>
    </w:pPr>
    <w:r w:rsidRPr="00637A99">
      <w:rPr>
        <w:noProof/>
      </w:rPr>
      <w:drawing>
        <wp:inline distT="0" distB="0" distL="0" distR="0" wp14:anchorId="05A2B97A" wp14:editId="76A3412C">
          <wp:extent cx="1904365" cy="808355"/>
          <wp:effectExtent l="0" t="0" r="0" b="0"/>
          <wp:docPr id="7" name="Picture 1" descr="NEL CCG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NEL CCG Logo&#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4365" cy="8083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15:restartNumberingAfterBreak="0">
    <w:nsid w:val="00000002"/>
    <w:multiLevelType w:val="multilevel"/>
    <w:tmpl w:val="00000002"/>
    <w:name w:val="WWNum7"/>
    <w:lvl w:ilvl="0">
      <w:start w:val="1"/>
      <w:numFmt w:val="decimal"/>
      <w:lvlText w:val="%1."/>
      <w:lvlJc w:val="left"/>
      <w:pPr>
        <w:tabs>
          <w:tab w:val="num" w:pos="0"/>
        </w:tabs>
        <w:ind w:left="1069"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00000003"/>
    <w:multiLevelType w:val="multilevel"/>
    <w:tmpl w:val="00000003"/>
    <w:name w:val="WW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CC04D65"/>
    <w:multiLevelType w:val="hybridMultilevel"/>
    <w:tmpl w:val="C7BC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E0C"/>
    <w:multiLevelType w:val="hybridMultilevel"/>
    <w:tmpl w:val="2058425E"/>
    <w:lvl w:ilvl="0" w:tplc="08090001">
      <w:start w:val="1"/>
      <w:numFmt w:val="bullet"/>
      <w:lvlText w:val=""/>
      <w:lvlJc w:val="left"/>
      <w:pPr>
        <w:ind w:left="720" w:hanging="360"/>
      </w:pPr>
      <w:rPr>
        <w:rFonts w:ascii="Symbol" w:hAnsi="Symbol" w:hint="default"/>
      </w:rPr>
    </w:lvl>
    <w:lvl w:ilvl="1" w:tplc="7800359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B7157D"/>
    <w:multiLevelType w:val="hybridMultilevel"/>
    <w:tmpl w:val="3A96D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7F7816"/>
    <w:multiLevelType w:val="hybridMultilevel"/>
    <w:tmpl w:val="5F78D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DC6FA4"/>
    <w:multiLevelType w:val="hybridMultilevel"/>
    <w:tmpl w:val="7924BA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9755A86"/>
    <w:multiLevelType w:val="hybridMultilevel"/>
    <w:tmpl w:val="0616E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E76A7B"/>
    <w:multiLevelType w:val="hybridMultilevel"/>
    <w:tmpl w:val="9146B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9607DE"/>
    <w:multiLevelType w:val="hybridMultilevel"/>
    <w:tmpl w:val="8ED0510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F2284C"/>
    <w:multiLevelType w:val="hybridMultilevel"/>
    <w:tmpl w:val="5B40231A"/>
    <w:lvl w:ilvl="0" w:tplc="04090001">
      <w:start w:val="1"/>
      <w:numFmt w:val="bullet"/>
      <w:lvlText w:val=""/>
      <w:lvlJc w:val="left"/>
      <w:pPr>
        <w:tabs>
          <w:tab w:val="num" w:pos="396"/>
        </w:tabs>
        <w:ind w:left="396" w:hanging="360"/>
      </w:pPr>
      <w:rPr>
        <w:rFonts w:ascii="Symbol" w:hAnsi="Symbol" w:hint="default"/>
      </w:rPr>
    </w:lvl>
    <w:lvl w:ilvl="1" w:tplc="08090001">
      <w:start w:val="1"/>
      <w:numFmt w:val="bullet"/>
      <w:lvlText w:val=""/>
      <w:lvlJc w:val="left"/>
      <w:pPr>
        <w:tabs>
          <w:tab w:val="num" w:pos="1116"/>
        </w:tabs>
        <w:ind w:left="1116" w:hanging="360"/>
      </w:pPr>
      <w:rPr>
        <w:rFonts w:ascii="Symbol" w:hAnsi="Symbol" w:hint="default"/>
      </w:rPr>
    </w:lvl>
    <w:lvl w:ilvl="2" w:tplc="04090005" w:tentative="1">
      <w:start w:val="1"/>
      <w:numFmt w:val="bullet"/>
      <w:lvlText w:val=""/>
      <w:lvlJc w:val="left"/>
      <w:pPr>
        <w:tabs>
          <w:tab w:val="num" w:pos="1836"/>
        </w:tabs>
        <w:ind w:left="1836" w:hanging="360"/>
      </w:pPr>
      <w:rPr>
        <w:rFonts w:ascii="Wingdings" w:hAnsi="Wingdings" w:hint="default"/>
      </w:rPr>
    </w:lvl>
    <w:lvl w:ilvl="3" w:tplc="04090001" w:tentative="1">
      <w:start w:val="1"/>
      <w:numFmt w:val="bullet"/>
      <w:lvlText w:val=""/>
      <w:lvlJc w:val="left"/>
      <w:pPr>
        <w:tabs>
          <w:tab w:val="num" w:pos="2556"/>
        </w:tabs>
        <w:ind w:left="2556" w:hanging="360"/>
      </w:pPr>
      <w:rPr>
        <w:rFonts w:ascii="Symbol" w:hAnsi="Symbol" w:hint="default"/>
      </w:rPr>
    </w:lvl>
    <w:lvl w:ilvl="4" w:tplc="04090003" w:tentative="1">
      <w:start w:val="1"/>
      <w:numFmt w:val="bullet"/>
      <w:lvlText w:val="o"/>
      <w:lvlJc w:val="left"/>
      <w:pPr>
        <w:tabs>
          <w:tab w:val="num" w:pos="3276"/>
        </w:tabs>
        <w:ind w:left="3276" w:hanging="360"/>
      </w:pPr>
      <w:rPr>
        <w:rFonts w:ascii="Courier New" w:hAnsi="Courier New" w:cs="Courier New" w:hint="default"/>
      </w:rPr>
    </w:lvl>
    <w:lvl w:ilvl="5" w:tplc="04090005" w:tentative="1">
      <w:start w:val="1"/>
      <w:numFmt w:val="bullet"/>
      <w:lvlText w:val=""/>
      <w:lvlJc w:val="left"/>
      <w:pPr>
        <w:tabs>
          <w:tab w:val="num" w:pos="3996"/>
        </w:tabs>
        <w:ind w:left="3996" w:hanging="360"/>
      </w:pPr>
      <w:rPr>
        <w:rFonts w:ascii="Wingdings" w:hAnsi="Wingdings" w:hint="default"/>
      </w:rPr>
    </w:lvl>
    <w:lvl w:ilvl="6" w:tplc="04090001" w:tentative="1">
      <w:start w:val="1"/>
      <w:numFmt w:val="bullet"/>
      <w:lvlText w:val=""/>
      <w:lvlJc w:val="left"/>
      <w:pPr>
        <w:tabs>
          <w:tab w:val="num" w:pos="4716"/>
        </w:tabs>
        <w:ind w:left="4716" w:hanging="360"/>
      </w:pPr>
      <w:rPr>
        <w:rFonts w:ascii="Symbol" w:hAnsi="Symbol" w:hint="default"/>
      </w:rPr>
    </w:lvl>
    <w:lvl w:ilvl="7" w:tplc="04090003" w:tentative="1">
      <w:start w:val="1"/>
      <w:numFmt w:val="bullet"/>
      <w:lvlText w:val="o"/>
      <w:lvlJc w:val="left"/>
      <w:pPr>
        <w:tabs>
          <w:tab w:val="num" w:pos="5436"/>
        </w:tabs>
        <w:ind w:left="5436" w:hanging="360"/>
      </w:pPr>
      <w:rPr>
        <w:rFonts w:ascii="Courier New" w:hAnsi="Courier New" w:cs="Courier New" w:hint="default"/>
      </w:rPr>
    </w:lvl>
    <w:lvl w:ilvl="8" w:tplc="04090005" w:tentative="1">
      <w:start w:val="1"/>
      <w:numFmt w:val="bullet"/>
      <w:lvlText w:val=""/>
      <w:lvlJc w:val="left"/>
      <w:pPr>
        <w:tabs>
          <w:tab w:val="num" w:pos="6156"/>
        </w:tabs>
        <w:ind w:left="6156" w:hanging="360"/>
      </w:pPr>
      <w:rPr>
        <w:rFonts w:ascii="Wingdings" w:hAnsi="Wingdings" w:hint="default"/>
      </w:rPr>
    </w:lvl>
  </w:abstractNum>
  <w:abstractNum w:abstractNumId="12" w15:restartNumberingAfterBreak="0">
    <w:nsid w:val="24F744DE"/>
    <w:multiLevelType w:val="hybridMultilevel"/>
    <w:tmpl w:val="6F800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E854CB"/>
    <w:multiLevelType w:val="hybridMultilevel"/>
    <w:tmpl w:val="3B324DC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AB87D4C"/>
    <w:multiLevelType w:val="multilevel"/>
    <w:tmpl w:val="655E47DA"/>
    <w:styleLink w:val="LFO26"/>
    <w:lvl w:ilvl="0">
      <w:start w:val="1"/>
      <w:numFmt w:val="decimal"/>
      <w:pStyle w:val="BulletList1numbered"/>
      <w:lvlText w:val="%1."/>
      <w:lvlJc w:val="left"/>
      <w:pPr>
        <w:ind w:left="360" w:hanging="360"/>
      </w:pPr>
    </w:lvl>
    <w:lvl w:ilvl="1">
      <w:start w:val="1"/>
      <w:numFmt w:val="lowerRoman"/>
      <w:lvlText w:val="%1.%2."/>
      <w:lvlJc w:val="left"/>
      <w:pPr>
        <w:ind w:left="792" w:hanging="432"/>
      </w:pPr>
      <w:rPr>
        <w:color w:val="auto"/>
      </w:rPr>
    </w:lvl>
    <w:lvl w:ilvl="2">
      <w:start w:val="1"/>
      <w:numFmt w:val="lowerRoman"/>
      <w:lvlText w:val="%1.%2.%3."/>
      <w:lvlJc w:val="left"/>
      <w:pPr>
        <w:ind w:left="1224" w:hanging="504"/>
      </w:pPr>
      <w:rPr>
        <w:color w:val="auto"/>
      </w:rPr>
    </w:lvl>
    <w:lvl w:ilvl="3">
      <w:start w:val="1"/>
      <w:numFmt w:val="none"/>
      <w:lvlText w:val="%1.%2.%3.%4."/>
      <w:lvlJc w:val="left"/>
      <w:pPr>
        <w:ind w:left="1728" w:hanging="648"/>
      </w:pPr>
    </w:lvl>
    <w:lvl w:ilvl="4">
      <w:start w:val="1"/>
      <w:numFmt w:val="none"/>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1A3168"/>
    <w:multiLevelType w:val="hybridMultilevel"/>
    <w:tmpl w:val="4C1C346C"/>
    <w:lvl w:ilvl="0" w:tplc="5A724040">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B396FF9"/>
    <w:multiLevelType w:val="hybridMultilevel"/>
    <w:tmpl w:val="C88E671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C0E3E22"/>
    <w:multiLevelType w:val="hybridMultilevel"/>
    <w:tmpl w:val="74185CA0"/>
    <w:lvl w:ilvl="0" w:tplc="CAF25D22">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15:restartNumberingAfterBreak="0">
    <w:nsid w:val="2D86341B"/>
    <w:multiLevelType w:val="hybridMultilevel"/>
    <w:tmpl w:val="8580FEE2"/>
    <w:lvl w:ilvl="0" w:tplc="0409000F">
      <w:start w:val="7"/>
      <w:numFmt w:val="decimal"/>
      <w:lvlText w:val="%1."/>
      <w:lvlJc w:val="left"/>
      <w:pPr>
        <w:tabs>
          <w:tab w:val="num" w:pos="644"/>
        </w:tabs>
        <w:ind w:left="644" w:hanging="360"/>
      </w:pPr>
      <w:rPr>
        <w:rFonts w:hint="default"/>
      </w:rPr>
    </w:lvl>
    <w:lvl w:ilvl="1" w:tplc="04090001">
      <w:start w:val="1"/>
      <w:numFmt w:val="bullet"/>
      <w:lvlText w:val=""/>
      <w:lvlJc w:val="left"/>
      <w:pPr>
        <w:tabs>
          <w:tab w:val="num" w:pos="1364"/>
        </w:tabs>
        <w:ind w:left="1364" w:hanging="360"/>
      </w:pPr>
      <w:rPr>
        <w:rFonts w:ascii="Symbol" w:hAnsi="Symbol"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9" w15:restartNumberingAfterBreak="0">
    <w:nsid w:val="367D1B31"/>
    <w:multiLevelType w:val="hybridMultilevel"/>
    <w:tmpl w:val="1FAC5EE0"/>
    <w:lvl w:ilvl="0" w:tplc="8A0A30E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1C2A0C"/>
    <w:multiLevelType w:val="hybridMultilevel"/>
    <w:tmpl w:val="9710B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BCF2802"/>
    <w:multiLevelType w:val="hybridMultilevel"/>
    <w:tmpl w:val="07EC396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D633D14"/>
    <w:multiLevelType w:val="multilevel"/>
    <w:tmpl w:val="DCA08E70"/>
    <w:lvl w:ilvl="0">
      <w:start w:val="1"/>
      <w:numFmt w:val="decimal"/>
      <w:lvlText w:val="%1.0"/>
      <w:lvlJc w:val="left"/>
      <w:pPr>
        <w:tabs>
          <w:tab w:val="num" w:pos="480"/>
        </w:tabs>
        <w:ind w:left="480" w:hanging="480"/>
      </w:pPr>
      <w:rPr>
        <w:rFonts w:cs="Times New Roman" w:hint="default"/>
        <w:b/>
        <w:sz w:val="24"/>
      </w:rPr>
    </w:lvl>
    <w:lvl w:ilvl="1">
      <w:start w:val="1"/>
      <w:numFmt w:val="decimal"/>
      <w:lvlText w:val="%1.%2"/>
      <w:lvlJc w:val="left"/>
      <w:pPr>
        <w:tabs>
          <w:tab w:val="num" w:pos="1200"/>
        </w:tabs>
        <w:ind w:left="1200" w:hanging="480"/>
      </w:pPr>
      <w:rPr>
        <w:rFonts w:cs="Times New Roman" w:hint="default"/>
        <w:b w:val="0"/>
        <w:i w:val="0"/>
        <w:sz w:val="22"/>
        <w:szCs w:val="22"/>
      </w:rPr>
    </w:lvl>
    <w:lvl w:ilvl="2">
      <w:start w:val="1"/>
      <w:numFmt w:val="decimal"/>
      <w:lvlText w:val="%1.%2.%3"/>
      <w:lvlJc w:val="left"/>
      <w:pPr>
        <w:tabs>
          <w:tab w:val="num" w:pos="1288"/>
        </w:tabs>
        <w:ind w:left="1288" w:hanging="720"/>
      </w:pPr>
      <w:rPr>
        <w:rFonts w:cs="Times New Roman" w:hint="default"/>
        <w:b w:val="0"/>
        <w:color w:val="auto"/>
      </w:rPr>
    </w:lvl>
    <w:lvl w:ilvl="3">
      <w:start w:val="14"/>
      <w:numFmt w:val="bullet"/>
      <w:lvlText w:val="-"/>
      <w:lvlJc w:val="left"/>
      <w:pPr>
        <w:tabs>
          <w:tab w:val="num" w:pos="2880"/>
        </w:tabs>
        <w:ind w:left="2880" w:hanging="720"/>
      </w:pPr>
      <w:rPr>
        <w:rFonts w:ascii="Calibri" w:eastAsia="Times New Roman" w:hAnsi="Calibri"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15:restartNumberingAfterBreak="0">
    <w:nsid w:val="3FC51C4F"/>
    <w:multiLevelType w:val="hybridMultilevel"/>
    <w:tmpl w:val="6290C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2642E27"/>
    <w:multiLevelType w:val="hybridMultilevel"/>
    <w:tmpl w:val="954CF840"/>
    <w:lvl w:ilvl="0" w:tplc="08090001">
      <w:start w:val="1"/>
      <w:numFmt w:val="bullet"/>
      <w:lvlText w:val=""/>
      <w:lvlJc w:val="left"/>
      <w:pPr>
        <w:ind w:left="1091" w:hanging="360"/>
      </w:pPr>
      <w:rPr>
        <w:rFonts w:ascii="Symbol" w:hAnsi="Symbol" w:hint="default"/>
      </w:rPr>
    </w:lvl>
    <w:lvl w:ilvl="1" w:tplc="08090003" w:tentative="1">
      <w:start w:val="1"/>
      <w:numFmt w:val="bullet"/>
      <w:lvlText w:val="o"/>
      <w:lvlJc w:val="left"/>
      <w:pPr>
        <w:ind w:left="1811" w:hanging="360"/>
      </w:pPr>
      <w:rPr>
        <w:rFonts w:ascii="Courier New" w:hAnsi="Courier New" w:cs="Courier New" w:hint="default"/>
      </w:rPr>
    </w:lvl>
    <w:lvl w:ilvl="2" w:tplc="08090005" w:tentative="1">
      <w:start w:val="1"/>
      <w:numFmt w:val="bullet"/>
      <w:lvlText w:val=""/>
      <w:lvlJc w:val="left"/>
      <w:pPr>
        <w:ind w:left="2531" w:hanging="360"/>
      </w:pPr>
      <w:rPr>
        <w:rFonts w:ascii="Wingdings" w:hAnsi="Wingdings" w:hint="default"/>
      </w:rPr>
    </w:lvl>
    <w:lvl w:ilvl="3" w:tplc="08090001" w:tentative="1">
      <w:start w:val="1"/>
      <w:numFmt w:val="bullet"/>
      <w:lvlText w:val=""/>
      <w:lvlJc w:val="left"/>
      <w:pPr>
        <w:ind w:left="3251" w:hanging="360"/>
      </w:pPr>
      <w:rPr>
        <w:rFonts w:ascii="Symbol" w:hAnsi="Symbol" w:hint="default"/>
      </w:rPr>
    </w:lvl>
    <w:lvl w:ilvl="4" w:tplc="08090003" w:tentative="1">
      <w:start w:val="1"/>
      <w:numFmt w:val="bullet"/>
      <w:lvlText w:val="o"/>
      <w:lvlJc w:val="left"/>
      <w:pPr>
        <w:ind w:left="3971" w:hanging="360"/>
      </w:pPr>
      <w:rPr>
        <w:rFonts w:ascii="Courier New" w:hAnsi="Courier New" w:cs="Courier New" w:hint="default"/>
      </w:rPr>
    </w:lvl>
    <w:lvl w:ilvl="5" w:tplc="08090005" w:tentative="1">
      <w:start w:val="1"/>
      <w:numFmt w:val="bullet"/>
      <w:lvlText w:val=""/>
      <w:lvlJc w:val="left"/>
      <w:pPr>
        <w:ind w:left="4691" w:hanging="360"/>
      </w:pPr>
      <w:rPr>
        <w:rFonts w:ascii="Wingdings" w:hAnsi="Wingdings" w:hint="default"/>
      </w:rPr>
    </w:lvl>
    <w:lvl w:ilvl="6" w:tplc="08090001" w:tentative="1">
      <w:start w:val="1"/>
      <w:numFmt w:val="bullet"/>
      <w:lvlText w:val=""/>
      <w:lvlJc w:val="left"/>
      <w:pPr>
        <w:ind w:left="5411" w:hanging="360"/>
      </w:pPr>
      <w:rPr>
        <w:rFonts w:ascii="Symbol" w:hAnsi="Symbol" w:hint="default"/>
      </w:rPr>
    </w:lvl>
    <w:lvl w:ilvl="7" w:tplc="08090003" w:tentative="1">
      <w:start w:val="1"/>
      <w:numFmt w:val="bullet"/>
      <w:lvlText w:val="o"/>
      <w:lvlJc w:val="left"/>
      <w:pPr>
        <w:ind w:left="6131" w:hanging="360"/>
      </w:pPr>
      <w:rPr>
        <w:rFonts w:ascii="Courier New" w:hAnsi="Courier New" w:cs="Courier New" w:hint="default"/>
      </w:rPr>
    </w:lvl>
    <w:lvl w:ilvl="8" w:tplc="08090005" w:tentative="1">
      <w:start w:val="1"/>
      <w:numFmt w:val="bullet"/>
      <w:lvlText w:val=""/>
      <w:lvlJc w:val="left"/>
      <w:pPr>
        <w:ind w:left="6851" w:hanging="360"/>
      </w:pPr>
      <w:rPr>
        <w:rFonts w:ascii="Wingdings" w:hAnsi="Wingdings" w:hint="default"/>
      </w:rPr>
    </w:lvl>
  </w:abstractNum>
  <w:abstractNum w:abstractNumId="25" w15:restartNumberingAfterBreak="0">
    <w:nsid w:val="448A3312"/>
    <w:multiLevelType w:val="hybridMultilevel"/>
    <w:tmpl w:val="DC9E23E8"/>
    <w:lvl w:ilvl="0" w:tplc="08090001">
      <w:start w:val="1"/>
      <w:numFmt w:val="bullet"/>
      <w:lvlText w:val=""/>
      <w:lvlJc w:val="left"/>
      <w:pPr>
        <w:ind w:left="1091" w:hanging="360"/>
      </w:pPr>
      <w:rPr>
        <w:rFonts w:ascii="Symbol" w:hAnsi="Symbol" w:hint="default"/>
      </w:rPr>
    </w:lvl>
    <w:lvl w:ilvl="1" w:tplc="08090003" w:tentative="1">
      <w:start w:val="1"/>
      <w:numFmt w:val="bullet"/>
      <w:lvlText w:val="o"/>
      <w:lvlJc w:val="left"/>
      <w:pPr>
        <w:ind w:left="1811" w:hanging="360"/>
      </w:pPr>
      <w:rPr>
        <w:rFonts w:ascii="Courier New" w:hAnsi="Courier New" w:cs="Courier New" w:hint="default"/>
      </w:rPr>
    </w:lvl>
    <w:lvl w:ilvl="2" w:tplc="08090005" w:tentative="1">
      <w:start w:val="1"/>
      <w:numFmt w:val="bullet"/>
      <w:lvlText w:val=""/>
      <w:lvlJc w:val="left"/>
      <w:pPr>
        <w:ind w:left="2531" w:hanging="360"/>
      </w:pPr>
      <w:rPr>
        <w:rFonts w:ascii="Wingdings" w:hAnsi="Wingdings" w:hint="default"/>
      </w:rPr>
    </w:lvl>
    <w:lvl w:ilvl="3" w:tplc="08090001" w:tentative="1">
      <w:start w:val="1"/>
      <w:numFmt w:val="bullet"/>
      <w:lvlText w:val=""/>
      <w:lvlJc w:val="left"/>
      <w:pPr>
        <w:ind w:left="3251" w:hanging="360"/>
      </w:pPr>
      <w:rPr>
        <w:rFonts w:ascii="Symbol" w:hAnsi="Symbol" w:hint="default"/>
      </w:rPr>
    </w:lvl>
    <w:lvl w:ilvl="4" w:tplc="08090003" w:tentative="1">
      <w:start w:val="1"/>
      <w:numFmt w:val="bullet"/>
      <w:lvlText w:val="o"/>
      <w:lvlJc w:val="left"/>
      <w:pPr>
        <w:ind w:left="3971" w:hanging="360"/>
      </w:pPr>
      <w:rPr>
        <w:rFonts w:ascii="Courier New" w:hAnsi="Courier New" w:cs="Courier New" w:hint="default"/>
      </w:rPr>
    </w:lvl>
    <w:lvl w:ilvl="5" w:tplc="08090005" w:tentative="1">
      <w:start w:val="1"/>
      <w:numFmt w:val="bullet"/>
      <w:lvlText w:val=""/>
      <w:lvlJc w:val="left"/>
      <w:pPr>
        <w:ind w:left="4691" w:hanging="360"/>
      </w:pPr>
      <w:rPr>
        <w:rFonts w:ascii="Wingdings" w:hAnsi="Wingdings" w:hint="default"/>
      </w:rPr>
    </w:lvl>
    <w:lvl w:ilvl="6" w:tplc="08090001" w:tentative="1">
      <w:start w:val="1"/>
      <w:numFmt w:val="bullet"/>
      <w:lvlText w:val=""/>
      <w:lvlJc w:val="left"/>
      <w:pPr>
        <w:ind w:left="5411" w:hanging="360"/>
      </w:pPr>
      <w:rPr>
        <w:rFonts w:ascii="Symbol" w:hAnsi="Symbol" w:hint="default"/>
      </w:rPr>
    </w:lvl>
    <w:lvl w:ilvl="7" w:tplc="08090003" w:tentative="1">
      <w:start w:val="1"/>
      <w:numFmt w:val="bullet"/>
      <w:lvlText w:val="o"/>
      <w:lvlJc w:val="left"/>
      <w:pPr>
        <w:ind w:left="6131" w:hanging="360"/>
      </w:pPr>
      <w:rPr>
        <w:rFonts w:ascii="Courier New" w:hAnsi="Courier New" w:cs="Courier New" w:hint="default"/>
      </w:rPr>
    </w:lvl>
    <w:lvl w:ilvl="8" w:tplc="08090005" w:tentative="1">
      <w:start w:val="1"/>
      <w:numFmt w:val="bullet"/>
      <w:lvlText w:val=""/>
      <w:lvlJc w:val="left"/>
      <w:pPr>
        <w:ind w:left="6851" w:hanging="360"/>
      </w:pPr>
      <w:rPr>
        <w:rFonts w:ascii="Wingdings" w:hAnsi="Wingdings" w:hint="default"/>
      </w:rPr>
    </w:lvl>
  </w:abstractNum>
  <w:abstractNum w:abstractNumId="26" w15:restartNumberingAfterBreak="0">
    <w:nsid w:val="44BD42B4"/>
    <w:multiLevelType w:val="hybridMultilevel"/>
    <w:tmpl w:val="F65850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48F0505A"/>
    <w:multiLevelType w:val="hybridMultilevel"/>
    <w:tmpl w:val="C93E0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8B6E6C"/>
    <w:multiLevelType w:val="hybridMultilevel"/>
    <w:tmpl w:val="CCEAA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DB1DF2"/>
    <w:multiLevelType w:val="multilevel"/>
    <w:tmpl w:val="3564BA98"/>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val="0"/>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15:restartNumberingAfterBreak="0">
    <w:nsid w:val="52F832B5"/>
    <w:multiLevelType w:val="hybridMultilevel"/>
    <w:tmpl w:val="106687D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074784"/>
    <w:multiLevelType w:val="hybridMultilevel"/>
    <w:tmpl w:val="4D4E2D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E84BBC"/>
    <w:multiLevelType w:val="hybridMultilevel"/>
    <w:tmpl w:val="7F7E7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FF463D"/>
    <w:multiLevelType w:val="hybridMultilevel"/>
    <w:tmpl w:val="AA9A6E96"/>
    <w:lvl w:ilvl="0" w:tplc="08090001">
      <w:start w:val="1"/>
      <w:numFmt w:val="bullet"/>
      <w:lvlText w:val=""/>
      <w:lvlJc w:val="left"/>
      <w:pPr>
        <w:ind w:left="1091" w:hanging="360"/>
      </w:pPr>
      <w:rPr>
        <w:rFonts w:ascii="Symbol" w:hAnsi="Symbol" w:hint="default"/>
      </w:rPr>
    </w:lvl>
    <w:lvl w:ilvl="1" w:tplc="08090003" w:tentative="1">
      <w:start w:val="1"/>
      <w:numFmt w:val="bullet"/>
      <w:lvlText w:val="o"/>
      <w:lvlJc w:val="left"/>
      <w:pPr>
        <w:ind w:left="1811" w:hanging="360"/>
      </w:pPr>
      <w:rPr>
        <w:rFonts w:ascii="Courier New" w:hAnsi="Courier New" w:cs="Courier New" w:hint="default"/>
      </w:rPr>
    </w:lvl>
    <w:lvl w:ilvl="2" w:tplc="08090005" w:tentative="1">
      <w:start w:val="1"/>
      <w:numFmt w:val="bullet"/>
      <w:lvlText w:val=""/>
      <w:lvlJc w:val="left"/>
      <w:pPr>
        <w:ind w:left="2531" w:hanging="360"/>
      </w:pPr>
      <w:rPr>
        <w:rFonts w:ascii="Wingdings" w:hAnsi="Wingdings" w:hint="default"/>
      </w:rPr>
    </w:lvl>
    <w:lvl w:ilvl="3" w:tplc="08090001" w:tentative="1">
      <w:start w:val="1"/>
      <w:numFmt w:val="bullet"/>
      <w:lvlText w:val=""/>
      <w:lvlJc w:val="left"/>
      <w:pPr>
        <w:ind w:left="3251" w:hanging="360"/>
      </w:pPr>
      <w:rPr>
        <w:rFonts w:ascii="Symbol" w:hAnsi="Symbol" w:hint="default"/>
      </w:rPr>
    </w:lvl>
    <w:lvl w:ilvl="4" w:tplc="08090003" w:tentative="1">
      <w:start w:val="1"/>
      <w:numFmt w:val="bullet"/>
      <w:lvlText w:val="o"/>
      <w:lvlJc w:val="left"/>
      <w:pPr>
        <w:ind w:left="3971" w:hanging="360"/>
      </w:pPr>
      <w:rPr>
        <w:rFonts w:ascii="Courier New" w:hAnsi="Courier New" w:cs="Courier New" w:hint="default"/>
      </w:rPr>
    </w:lvl>
    <w:lvl w:ilvl="5" w:tplc="08090005" w:tentative="1">
      <w:start w:val="1"/>
      <w:numFmt w:val="bullet"/>
      <w:lvlText w:val=""/>
      <w:lvlJc w:val="left"/>
      <w:pPr>
        <w:ind w:left="4691" w:hanging="360"/>
      </w:pPr>
      <w:rPr>
        <w:rFonts w:ascii="Wingdings" w:hAnsi="Wingdings" w:hint="default"/>
      </w:rPr>
    </w:lvl>
    <w:lvl w:ilvl="6" w:tplc="08090001" w:tentative="1">
      <w:start w:val="1"/>
      <w:numFmt w:val="bullet"/>
      <w:lvlText w:val=""/>
      <w:lvlJc w:val="left"/>
      <w:pPr>
        <w:ind w:left="5411" w:hanging="360"/>
      </w:pPr>
      <w:rPr>
        <w:rFonts w:ascii="Symbol" w:hAnsi="Symbol" w:hint="default"/>
      </w:rPr>
    </w:lvl>
    <w:lvl w:ilvl="7" w:tplc="08090003" w:tentative="1">
      <w:start w:val="1"/>
      <w:numFmt w:val="bullet"/>
      <w:lvlText w:val="o"/>
      <w:lvlJc w:val="left"/>
      <w:pPr>
        <w:ind w:left="6131" w:hanging="360"/>
      </w:pPr>
      <w:rPr>
        <w:rFonts w:ascii="Courier New" w:hAnsi="Courier New" w:cs="Courier New" w:hint="default"/>
      </w:rPr>
    </w:lvl>
    <w:lvl w:ilvl="8" w:tplc="08090005" w:tentative="1">
      <w:start w:val="1"/>
      <w:numFmt w:val="bullet"/>
      <w:lvlText w:val=""/>
      <w:lvlJc w:val="left"/>
      <w:pPr>
        <w:ind w:left="6851" w:hanging="360"/>
      </w:pPr>
      <w:rPr>
        <w:rFonts w:ascii="Wingdings" w:hAnsi="Wingdings" w:hint="default"/>
      </w:rPr>
    </w:lvl>
  </w:abstractNum>
  <w:abstractNum w:abstractNumId="34" w15:restartNumberingAfterBreak="0">
    <w:nsid w:val="58980C08"/>
    <w:multiLevelType w:val="hybridMultilevel"/>
    <w:tmpl w:val="2158A0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B080683"/>
    <w:multiLevelType w:val="hybridMultilevel"/>
    <w:tmpl w:val="567A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BE559E"/>
    <w:multiLevelType w:val="hybridMultilevel"/>
    <w:tmpl w:val="A9D61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8A2F0C"/>
    <w:multiLevelType w:val="hybridMultilevel"/>
    <w:tmpl w:val="8A86A0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EFF2A97"/>
    <w:multiLevelType w:val="hybridMultilevel"/>
    <w:tmpl w:val="31A619A0"/>
    <w:lvl w:ilvl="0" w:tplc="68F01DF6">
      <w:start w:val="6"/>
      <w:numFmt w:val="none"/>
      <w:lvlText w:val="10."/>
      <w:lvlJc w:val="left"/>
      <w:pPr>
        <w:tabs>
          <w:tab w:val="num" w:pos="720"/>
        </w:tabs>
        <w:ind w:left="720" w:hanging="360"/>
      </w:pPr>
      <w:rPr>
        <w:rFonts w:ascii="Arial" w:hAnsi="Arial"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39" w15:restartNumberingAfterBreak="0">
    <w:nsid w:val="62411593"/>
    <w:multiLevelType w:val="hybridMultilevel"/>
    <w:tmpl w:val="BA54DA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A645D64"/>
    <w:multiLevelType w:val="hybridMultilevel"/>
    <w:tmpl w:val="220A23EE"/>
    <w:lvl w:ilvl="0" w:tplc="8C38A562">
      <w:start w:val="1"/>
      <w:numFmt w:val="decimal"/>
      <w:lvlText w:val="%1."/>
      <w:lvlJc w:val="left"/>
      <w:pPr>
        <w:ind w:left="360" w:hanging="360"/>
      </w:pPr>
      <w:rPr>
        <w:rFonts w:hint="default"/>
        <w:b/>
        <w:sz w:val="3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B642C66"/>
    <w:multiLevelType w:val="multilevel"/>
    <w:tmpl w:val="F2E00C52"/>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42" w15:restartNumberingAfterBreak="0">
    <w:nsid w:val="6C293831"/>
    <w:multiLevelType w:val="hybridMultilevel"/>
    <w:tmpl w:val="DD244290"/>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3" w15:restartNumberingAfterBreak="0">
    <w:nsid w:val="6D5819F4"/>
    <w:multiLevelType w:val="hybridMultilevel"/>
    <w:tmpl w:val="099CE3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1F46585"/>
    <w:multiLevelType w:val="hybridMultilevel"/>
    <w:tmpl w:val="F7D69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FC6E5C"/>
    <w:multiLevelType w:val="hybridMultilevel"/>
    <w:tmpl w:val="09B6F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9045B39"/>
    <w:multiLevelType w:val="hybridMultilevel"/>
    <w:tmpl w:val="2BC4422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2D7A3A"/>
    <w:multiLevelType w:val="hybridMultilevel"/>
    <w:tmpl w:val="BEE27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FD4643"/>
    <w:multiLevelType w:val="hybridMultilevel"/>
    <w:tmpl w:val="0A825E8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37"/>
  </w:num>
  <w:num w:numId="2">
    <w:abstractNumId w:val="4"/>
  </w:num>
  <w:num w:numId="3">
    <w:abstractNumId w:val="23"/>
  </w:num>
  <w:num w:numId="4">
    <w:abstractNumId w:val="43"/>
  </w:num>
  <w:num w:numId="5">
    <w:abstractNumId w:val="45"/>
  </w:num>
  <w:num w:numId="6">
    <w:abstractNumId w:val="40"/>
  </w:num>
  <w:num w:numId="7">
    <w:abstractNumId w:val="22"/>
  </w:num>
  <w:num w:numId="8">
    <w:abstractNumId w:val="10"/>
  </w:num>
  <w:num w:numId="9">
    <w:abstractNumId w:val="28"/>
  </w:num>
  <w:num w:numId="10">
    <w:abstractNumId w:val="26"/>
  </w:num>
  <w:num w:numId="11">
    <w:abstractNumId w:val="44"/>
  </w:num>
  <w:num w:numId="12">
    <w:abstractNumId w:val="35"/>
  </w:num>
  <w:num w:numId="13">
    <w:abstractNumId w:val="9"/>
  </w:num>
  <w:num w:numId="14">
    <w:abstractNumId w:val="46"/>
  </w:num>
  <w:num w:numId="15">
    <w:abstractNumId w:val="29"/>
  </w:num>
  <w:num w:numId="16">
    <w:abstractNumId w:val="12"/>
  </w:num>
  <w:num w:numId="17">
    <w:abstractNumId w:val="7"/>
  </w:num>
  <w:num w:numId="18">
    <w:abstractNumId w:val="39"/>
  </w:num>
  <w:num w:numId="19">
    <w:abstractNumId w:val="5"/>
  </w:num>
  <w:num w:numId="20">
    <w:abstractNumId w:val="3"/>
  </w:num>
  <w:num w:numId="21">
    <w:abstractNumId w:val="34"/>
  </w:num>
  <w:num w:numId="22">
    <w:abstractNumId w:val="42"/>
  </w:num>
  <w:num w:numId="23">
    <w:abstractNumId w:val="11"/>
  </w:num>
  <w:num w:numId="24">
    <w:abstractNumId w:val="18"/>
  </w:num>
  <w:num w:numId="25">
    <w:abstractNumId w:val="21"/>
  </w:num>
  <w:num w:numId="26">
    <w:abstractNumId w:val="30"/>
  </w:num>
  <w:num w:numId="27">
    <w:abstractNumId w:val="38"/>
  </w:num>
  <w:num w:numId="28">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2"/>
  </w:num>
  <w:num w:numId="31">
    <w:abstractNumId w:val="1"/>
  </w:num>
  <w:num w:numId="32">
    <w:abstractNumId w:val="33"/>
  </w:num>
  <w:num w:numId="33">
    <w:abstractNumId w:val="24"/>
  </w:num>
  <w:num w:numId="34">
    <w:abstractNumId w:val="25"/>
  </w:num>
  <w:num w:numId="35">
    <w:abstractNumId w:val="20"/>
  </w:num>
  <w:num w:numId="36">
    <w:abstractNumId w:val="48"/>
  </w:num>
  <w:num w:numId="37">
    <w:abstractNumId w:val="31"/>
  </w:num>
  <w:num w:numId="38">
    <w:abstractNumId w:val="13"/>
  </w:num>
  <w:num w:numId="39">
    <w:abstractNumId w:val="8"/>
  </w:num>
  <w:num w:numId="40">
    <w:abstractNumId w:val="36"/>
  </w:num>
  <w:num w:numId="41">
    <w:abstractNumId w:val="6"/>
  </w:num>
  <w:num w:numId="42">
    <w:abstractNumId w:val="32"/>
  </w:num>
  <w:num w:numId="43">
    <w:abstractNumId w:val="27"/>
  </w:num>
  <w:num w:numId="44">
    <w:abstractNumId w:val="47"/>
  </w:num>
  <w:num w:numId="45">
    <w:abstractNumId w:val="17"/>
  </w:num>
  <w:num w:numId="46">
    <w:abstractNumId w:val="14"/>
  </w:num>
  <w:num w:numId="47">
    <w:abstractNumId w:val="14"/>
  </w:num>
  <w:num w:numId="48">
    <w:abstractNumId w:val="19"/>
  </w:num>
  <w:num w:numId="49">
    <w:abstractNumId w:val="15"/>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3B9"/>
    <w:rsid w:val="0000369F"/>
    <w:rsid w:val="00020A26"/>
    <w:rsid w:val="00021E56"/>
    <w:rsid w:val="0002358B"/>
    <w:rsid w:val="000256D0"/>
    <w:rsid w:val="000318EE"/>
    <w:rsid w:val="00031ABC"/>
    <w:rsid w:val="00035B5E"/>
    <w:rsid w:val="000410DE"/>
    <w:rsid w:val="00042315"/>
    <w:rsid w:val="0004255F"/>
    <w:rsid w:val="00042F7C"/>
    <w:rsid w:val="0004514C"/>
    <w:rsid w:val="000761AE"/>
    <w:rsid w:val="000A4364"/>
    <w:rsid w:val="000A58B9"/>
    <w:rsid w:val="000A6BA9"/>
    <w:rsid w:val="000C3F9F"/>
    <w:rsid w:val="000D41EF"/>
    <w:rsid w:val="000E1965"/>
    <w:rsid w:val="000E23F2"/>
    <w:rsid w:val="000E5B08"/>
    <w:rsid w:val="000F26C7"/>
    <w:rsid w:val="000F42E0"/>
    <w:rsid w:val="00113C2D"/>
    <w:rsid w:val="00121763"/>
    <w:rsid w:val="001253FF"/>
    <w:rsid w:val="00145272"/>
    <w:rsid w:val="0014551F"/>
    <w:rsid w:val="00153ACD"/>
    <w:rsid w:val="00167C34"/>
    <w:rsid w:val="00172C11"/>
    <w:rsid w:val="001764FE"/>
    <w:rsid w:val="001829CB"/>
    <w:rsid w:val="0019373E"/>
    <w:rsid w:val="001A2324"/>
    <w:rsid w:val="001A5EE4"/>
    <w:rsid w:val="001B11CF"/>
    <w:rsid w:val="001B2112"/>
    <w:rsid w:val="001B4CDA"/>
    <w:rsid w:val="001C15F8"/>
    <w:rsid w:val="001C7AFC"/>
    <w:rsid w:val="001D381F"/>
    <w:rsid w:val="001D5C14"/>
    <w:rsid w:val="001E059C"/>
    <w:rsid w:val="001E1F63"/>
    <w:rsid w:val="001E3007"/>
    <w:rsid w:val="001F0858"/>
    <w:rsid w:val="001F141E"/>
    <w:rsid w:val="00203495"/>
    <w:rsid w:val="00204B10"/>
    <w:rsid w:val="00204CE6"/>
    <w:rsid w:val="00216727"/>
    <w:rsid w:val="00225FBC"/>
    <w:rsid w:val="00227AB0"/>
    <w:rsid w:val="002331E5"/>
    <w:rsid w:val="00234157"/>
    <w:rsid w:val="00241E31"/>
    <w:rsid w:val="002474E4"/>
    <w:rsid w:val="00251340"/>
    <w:rsid w:val="002549CC"/>
    <w:rsid w:val="002676E8"/>
    <w:rsid w:val="00272880"/>
    <w:rsid w:val="00294411"/>
    <w:rsid w:val="002A06A9"/>
    <w:rsid w:val="002B3809"/>
    <w:rsid w:val="002C17BA"/>
    <w:rsid w:val="002C5F16"/>
    <w:rsid w:val="002D395F"/>
    <w:rsid w:val="002D3960"/>
    <w:rsid w:val="002D7C4E"/>
    <w:rsid w:val="002E3D50"/>
    <w:rsid w:val="002F2150"/>
    <w:rsid w:val="002F6C35"/>
    <w:rsid w:val="002F746F"/>
    <w:rsid w:val="00343700"/>
    <w:rsid w:val="00344DB1"/>
    <w:rsid w:val="00366192"/>
    <w:rsid w:val="0038094B"/>
    <w:rsid w:val="00387944"/>
    <w:rsid w:val="003917EB"/>
    <w:rsid w:val="003A4F5C"/>
    <w:rsid w:val="003A51C8"/>
    <w:rsid w:val="003B2354"/>
    <w:rsid w:val="003B62F8"/>
    <w:rsid w:val="003C0993"/>
    <w:rsid w:val="003C0997"/>
    <w:rsid w:val="003C4BDA"/>
    <w:rsid w:val="003D4B95"/>
    <w:rsid w:val="003D667A"/>
    <w:rsid w:val="003E2831"/>
    <w:rsid w:val="003E55AD"/>
    <w:rsid w:val="003E72F3"/>
    <w:rsid w:val="00404C54"/>
    <w:rsid w:val="00406BB3"/>
    <w:rsid w:val="00412ED5"/>
    <w:rsid w:val="00413BB8"/>
    <w:rsid w:val="00421334"/>
    <w:rsid w:val="00445F91"/>
    <w:rsid w:val="00454E7D"/>
    <w:rsid w:val="00457602"/>
    <w:rsid w:val="004578C2"/>
    <w:rsid w:val="004641F0"/>
    <w:rsid w:val="0046612E"/>
    <w:rsid w:val="004671FF"/>
    <w:rsid w:val="00471D2D"/>
    <w:rsid w:val="004728A0"/>
    <w:rsid w:val="00477BF2"/>
    <w:rsid w:val="00481F08"/>
    <w:rsid w:val="00482616"/>
    <w:rsid w:val="00497B7E"/>
    <w:rsid w:val="004A06B4"/>
    <w:rsid w:val="004A0A9F"/>
    <w:rsid w:val="004A0C47"/>
    <w:rsid w:val="004A25B0"/>
    <w:rsid w:val="004A4D86"/>
    <w:rsid w:val="004A6BD1"/>
    <w:rsid w:val="004A729B"/>
    <w:rsid w:val="004B045E"/>
    <w:rsid w:val="004B2355"/>
    <w:rsid w:val="004B59B4"/>
    <w:rsid w:val="004C3ECC"/>
    <w:rsid w:val="004D4378"/>
    <w:rsid w:val="004E3871"/>
    <w:rsid w:val="004F0BD3"/>
    <w:rsid w:val="004F110D"/>
    <w:rsid w:val="00503917"/>
    <w:rsid w:val="005039D7"/>
    <w:rsid w:val="00504C73"/>
    <w:rsid w:val="00505617"/>
    <w:rsid w:val="00514298"/>
    <w:rsid w:val="00516A73"/>
    <w:rsid w:val="005201BD"/>
    <w:rsid w:val="00523535"/>
    <w:rsid w:val="00527266"/>
    <w:rsid w:val="00533327"/>
    <w:rsid w:val="00542EF1"/>
    <w:rsid w:val="00546B09"/>
    <w:rsid w:val="005470A3"/>
    <w:rsid w:val="00550ECB"/>
    <w:rsid w:val="00551245"/>
    <w:rsid w:val="0055572D"/>
    <w:rsid w:val="00555AA2"/>
    <w:rsid w:val="00557DF4"/>
    <w:rsid w:val="005600BE"/>
    <w:rsid w:val="00571147"/>
    <w:rsid w:val="00573544"/>
    <w:rsid w:val="005735BA"/>
    <w:rsid w:val="0057415B"/>
    <w:rsid w:val="00585D4A"/>
    <w:rsid w:val="00591DDB"/>
    <w:rsid w:val="005944F2"/>
    <w:rsid w:val="00594E2C"/>
    <w:rsid w:val="005A09C8"/>
    <w:rsid w:val="005A289B"/>
    <w:rsid w:val="005A4158"/>
    <w:rsid w:val="005A6371"/>
    <w:rsid w:val="005A6741"/>
    <w:rsid w:val="005C4F79"/>
    <w:rsid w:val="005D38E0"/>
    <w:rsid w:val="005D3D84"/>
    <w:rsid w:val="005E427D"/>
    <w:rsid w:val="005F0C37"/>
    <w:rsid w:val="005F1F2D"/>
    <w:rsid w:val="005F25AF"/>
    <w:rsid w:val="00611249"/>
    <w:rsid w:val="00624F2E"/>
    <w:rsid w:val="006312EA"/>
    <w:rsid w:val="006362FF"/>
    <w:rsid w:val="00642D53"/>
    <w:rsid w:val="00651158"/>
    <w:rsid w:val="00667468"/>
    <w:rsid w:val="00670435"/>
    <w:rsid w:val="00670A84"/>
    <w:rsid w:val="0067500F"/>
    <w:rsid w:val="006759C6"/>
    <w:rsid w:val="006905B6"/>
    <w:rsid w:val="0069797A"/>
    <w:rsid w:val="00697B9F"/>
    <w:rsid w:val="006A45A7"/>
    <w:rsid w:val="006B6237"/>
    <w:rsid w:val="006B742C"/>
    <w:rsid w:val="006E5C95"/>
    <w:rsid w:val="006E6C66"/>
    <w:rsid w:val="006F612C"/>
    <w:rsid w:val="0071088F"/>
    <w:rsid w:val="007113A1"/>
    <w:rsid w:val="007114F3"/>
    <w:rsid w:val="007128F2"/>
    <w:rsid w:val="007355FA"/>
    <w:rsid w:val="0074249F"/>
    <w:rsid w:val="00750515"/>
    <w:rsid w:val="007523C6"/>
    <w:rsid w:val="00763DD5"/>
    <w:rsid w:val="007725FC"/>
    <w:rsid w:val="007806AC"/>
    <w:rsid w:val="007B6D76"/>
    <w:rsid w:val="007C0E10"/>
    <w:rsid w:val="007C7885"/>
    <w:rsid w:val="007D2517"/>
    <w:rsid w:val="007E4CCB"/>
    <w:rsid w:val="007F2DF3"/>
    <w:rsid w:val="00800AD6"/>
    <w:rsid w:val="008113F9"/>
    <w:rsid w:val="008231E2"/>
    <w:rsid w:val="008268CA"/>
    <w:rsid w:val="00832171"/>
    <w:rsid w:val="00832E72"/>
    <w:rsid w:val="00836721"/>
    <w:rsid w:val="00837547"/>
    <w:rsid w:val="00841A0B"/>
    <w:rsid w:val="00846F97"/>
    <w:rsid w:val="00860ABD"/>
    <w:rsid w:val="008708CF"/>
    <w:rsid w:val="008709CA"/>
    <w:rsid w:val="00885854"/>
    <w:rsid w:val="008943B4"/>
    <w:rsid w:val="008949CF"/>
    <w:rsid w:val="008A38CA"/>
    <w:rsid w:val="008B2741"/>
    <w:rsid w:val="008D6F0B"/>
    <w:rsid w:val="008E402E"/>
    <w:rsid w:val="00900ABA"/>
    <w:rsid w:val="00902EC4"/>
    <w:rsid w:val="00916E08"/>
    <w:rsid w:val="009256EE"/>
    <w:rsid w:val="00947BE2"/>
    <w:rsid w:val="00955600"/>
    <w:rsid w:val="00955910"/>
    <w:rsid w:val="00960BF7"/>
    <w:rsid w:val="00960D11"/>
    <w:rsid w:val="00965677"/>
    <w:rsid w:val="00966F45"/>
    <w:rsid w:val="00993670"/>
    <w:rsid w:val="009944E6"/>
    <w:rsid w:val="00994AE9"/>
    <w:rsid w:val="009B285C"/>
    <w:rsid w:val="009B4507"/>
    <w:rsid w:val="009B6069"/>
    <w:rsid w:val="009C2537"/>
    <w:rsid w:val="009E082D"/>
    <w:rsid w:val="009E291A"/>
    <w:rsid w:val="009E79CE"/>
    <w:rsid w:val="00A005EF"/>
    <w:rsid w:val="00A11000"/>
    <w:rsid w:val="00A33719"/>
    <w:rsid w:val="00A345B7"/>
    <w:rsid w:val="00A56CD2"/>
    <w:rsid w:val="00A57BBA"/>
    <w:rsid w:val="00A71CEB"/>
    <w:rsid w:val="00A83867"/>
    <w:rsid w:val="00A853B9"/>
    <w:rsid w:val="00A8639C"/>
    <w:rsid w:val="00A86442"/>
    <w:rsid w:val="00A868F0"/>
    <w:rsid w:val="00A901A7"/>
    <w:rsid w:val="00A922BF"/>
    <w:rsid w:val="00A94290"/>
    <w:rsid w:val="00AA3B9D"/>
    <w:rsid w:val="00AC422E"/>
    <w:rsid w:val="00AD2635"/>
    <w:rsid w:val="00AD2978"/>
    <w:rsid w:val="00AD473C"/>
    <w:rsid w:val="00AD6FF5"/>
    <w:rsid w:val="00AE1AC8"/>
    <w:rsid w:val="00AE524E"/>
    <w:rsid w:val="00AF1827"/>
    <w:rsid w:val="00AF2C18"/>
    <w:rsid w:val="00B02978"/>
    <w:rsid w:val="00B24B13"/>
    <w:rsid w:val="00B3713E"/>
    <w:rsid w:val="00B52074"/>
    <w:rsid w:val="00B5636B"/>
    <w:rsid w:val="00B72A5F"/>
    <w:rsid w:val="00B812D0"/>
    <w:rsid w:val="00B83532"/>
    <w:rsid w:val="00B90DFB"/>
    <w:rsid w:val="00B917F3"/>
    <w:rsid w:val="00B932E2"/>
    <w:rsid w:val="00B97C15"/>
    <w:rsid w:val="00BA5AAA"/>
    <w:rsid w:val="00BA65E9"/>
    <w:rsid w:val="00BC1843"/>
    <w:rsid w:val="00BD0B98"/>
    <w:rsid w:val="00BD1498"/>
    <w:rsid w:val="00BE1478"/>
    <w:rsid w:val="00BE660F"/>
    <w:rsid w:val="00BF7021"/>
    <w:rsid w:val="00C077F4"/>
    <w:rsid w:val="00C101B6"/>
    <w:rsid w:val="00C1361F"/>
    <w:rsid w:val="00C20E0E"/>
    <w:rsid w:val="00C3036F"/>
    <w:rsid w:val="00C36DAE"/>
    <w:rsid w:val="00C413EF"/>
    <w:rsid w:val="00C55807"/>
    <w:rsid w:val="00C67AE3"/>
    <w:rsid w:val="00C81D54"/>
    <w:rsid w:val="00C81EA9"/>
    <w:rsid w:val="00C87B30"/>
    <w:rsid w:val="00C91F07"/>
    <w:rsid w:val="00C96564"/>
    <w:rsid w:val="00CA7D1B"/>
    <w:rsid w:val="00CB60B0"/>
    <w:rsid w:val="00CE0B9A"/>
    <w:rsid w:val="00CE3AE1"/>
    <w:rsid w:val="00CF40AE"/>
    <w:rsid w:val="00CF6891"/>
    <w:rsid w:val="00D16D18"/>
    <w:rsid w:val="00D234B1"/>
    <w:rsid w:val="00D508A8"/>
    <w:rsid w:val="00D51EA2"/>
    <w:rsid w:val="00D520CA"/>
    <w:rsid w:val="00D55DC6"/>
    <w:rsid w:val="00D56885"/>
    <w:rsid w:val="00D574CB"/>
    <w:rsid w:val="00D64B1C"/>
    <w:rsid w:val="00D676E9"/>
    <w:rsid w:val="00D72C8E"/>
    <w:rsid w:val="00D738F1"/>
    <w:rsid w:val="00D9020B"/>
    <w:rsid w:val="00DA2EC5"/>
    <w:rsid w:val="00DB6B93"/>
    <w:rsid w:val="00DC34B8"/>
    <w:rsid w:val="00DC799E"/>
    <w:rsid w:val="00DC7F66"/>
    <w:rsid w:val="00DD2713"/>
    <w:rsid w:val="00DD6AD0"/>
    <w:rsid w:val="00DD77EE"/>
    <w:rsid w:val="00DE6443"/>
    <w:rsid w:val="00DF0DB8"/>
    <w:rsid w:val="00DF4D16"/>
    <w:rsid w:val="00DF6247"/>
    <w:rsid w:val="00DF68FD"/>
    <w:rsid w:val="00DF77C5"/>
    <w:rsid w:val="00E051BB"/>
    <w:rsid w:val="00E15FDF"/>
    <w:rsid w:val="00E227FA"/>
    <w:rsid w:val="00E2644D"/>
    <w:rsid w:val="00E30F94"/>
    <w:rsid w:val="00E34B02"/>
    <w:rsid w:val="00E36556"/>
    <w:rsid w:val="00E44206"/>
    <w:rsid w:val="00E548C0"/>
    <w:rsid w:val="00E62310"/>
    <w:rsid w:val="00E665F4"/>
    <w:rsid w:val="00E7571E"/>
    <w:rsid w:val="00E76157"/>
    <w:rsid w:val="00E83F3A"/>
    <w:rsid w:val="00EA69A0"/>
    <w:rsid w:val="00EA7A50"/>
    <w:rsid w:val="00EB1678"/>
    <w:rsid w:val="00EB1CEB"/>
    <w:rsid w:val="00EC15E7"/>
    <w:rsid w:val="00EC428E"/>
    <w:rsid w:val="00ED0CA8"/>
    <w:rsid w:val="00EE4DAC"/>
    <w:rsid w:val="00EE7B81"/>
    <w:rsid w:val="00EF16C8"/>
    <w:rsid w:val="00EF713F"/>
    <w:rsid w:val="00F10513"/>
    <w:rsid w:val="00F30E67"/>
    <w:rsid w:val="00F4309A"/>
    <w:rsid w:val="00F55937"/>
    <w:rsid w:val="00F66A49"/>
    <w:rsid w:val="00F759FC"/>
    <w:rsid w:val="00F8405F"/>
    <w:rsid w:val="00FA1E8A"/>
    <w:rsid w:val="00FA2AD9"/>
    <w:rsid w:val="00FC670D"/>
    <w:rsid w:val="00FD341E"/>
    <w:rsid w:val="00FF6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87C03A6"/>
  <w15:chartTrackingRefBased/>
  <w15:docId w15:val="{C3A42780-C441-4288-B49B-3683587D1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60" w:lineRule="auto"/>
      <w:jc w:val="both"/>
    </w:pPr>
    <w:rPr>
      <w:rFonts w:ascii="Arial" w:hAnsi="Arial"/>
      <w:kern w:val="1"/>
      <w:sz w:val="22"/>
      <w:szCs w:val="24"/>
    </w:rPr>
  </w:style>
  <w:style w:type="paragraph" w:styleId="Heading1">
    <w:name w:val="heading 1"/>
    <w:basedOn w:val="Normal"/>
    <w:next w:val="Normal"/>
    <w:link w:val="Heading1Char"/>
    <w:uiPriority w:val="9"/>
    <w:qFormat/>
    <w:rsid w:val="004F0BD3"/>
    <w:pPr>
      <w:autoSpaceDE w:val="0"/>
      <w:autoSpaceDN w:val="0"/>
      <w:adjustRightInd w:val="0"/>
      <w:spacing w:line="276" w:lineRule="auto"/>
      <w:outlineLvl w:val="0"/>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rPr>
      <w:rFonts w:ascii="Tahoma" w:eastAsia="Times New Roman" w:hAnsi="Tahoma" w:cs="Tahoma"/>
      <w:sz w:val="16"/>
      <w:szCs w:val="16"/>
      <w:lang w:eastAsia="en-GB"/>
    </w:rPr>
  </w:style>
  <w:style w:type="character" w:customStyle="1" w:styleId="HeaderChar">
    <w:name w:val="Header Char"/>
    <w:rPr>
      <w:rFonts w:ascii="Arial" w:eastAsia="Times New Roman" w:hAnsi="Arial" w:cs="Times New Roman"/>
      <w:szCs w:val="24"/>
      <w:lang w:eastAsia="en-GB"/>
    </w:rPr>
  </w:style>
  <w:style w:type="character" w:customStyle="1" w:styleId="FooterChar">
    <w:name w:val="Footer Char"/>
    <w:rPr>
      <w:rFonts w:ascii="Arial" w:eastAsia="Times New Roman" w:hAnsi="Arial" w:cs="Times New Roman"/>
      <w:szCs w:val="24"/>
      <w:lang w:eastAsia="en-GB"/>
    </w:rPr>
  </w:style>
  <w:style w:type="character" w:customStyle="1" w:styleId="NoSpacingChar">
    <w:name w:val="No Spacing Char"/>
    <w:basedOn w:val="DefaultParagraphFont"/>
  </w:style>
  <w:style w:type="character" w:styleId="PlaceholderText">
    <w:name w:val="Placeholder Text"/>
    <w:rPr>
      <w:color w:val="808080"/>
    </w:rPr>
  </w:style>
  <w:style w:type="character" w:styleId="Hyperlink">
    <w:name w:val="Hyperlink"/>
    <w:uiPriority w:val="99"/>
    <w:rPr>
      <w:strike w:val="0"/>
      <w:dstrike w:val="0"/>
      <w:color w:val="444444"/>
      <w:u w:val="single"/>
      <w:effect w:val="none"/>
    </w:rPr>
  </w:style>
  <w:style w:type="character" w:customStyle="1" w:styleId="CommentReference1">
    <w:name w:val="Comment Reference1"/>
    <w:rPr>
      <w:sz w:val="16"/>
      <w:szCs w:val="16"/>
    </w:rPr>
  </w:style>
  <w:style w:type="character" w:customStyle="1" w:styleId="CommentTextChar">
    <w:name w:val="Comment Text Char"/>
    <w:link w:val="CommentText"/>
    <w:uiPriority w:val="99"/>
    <w:rPr>
      <w:rFonts w:ascii="Arial" w:eastAsia="Times New Roman" w:hAnsi="Arial" w:cs="Times New Roman"/>
      <w:sz w:val="20"/>
      <w:szCs w:val="20"/>
      <w:lang w:eastAsia="en-GB"/>
    </w:rPr>
  </w:style>
  <w:style w:type="character" w:customStyle="1" w:styleId="CommentSubjectChar">
    <w:name w:val="Comment Subject Char"/>
    <w:rPr>
      <w:rFonts w:ascii="Arial" w:eastAsia="Times New Roman" w:hAnsi="Arial" w:cs="Times New Roman"/>
      <w:b/>
      <w:bCs/>
      <w:sz w:val="20"/>
      <w:szCs w:val="20"/>
      <w:lang w:eastAsia="en-GB"/>
    </w:rPr>
  </w:style>
  <w:style w:type="character" w:customStyle="1" w:styleId="ListLabel1">
    <w:name w:val="ListLabel 1"/>
    <w:rPr>
      <w:b w:val="0"/>
    </w:rPr>
  </w:style>
  <w:style w:type="character" w:customStyle="1" w:styleId="ListLabel2">
    <w:name w:val="ListLabel 2"/>
    <w:rPr>
      <w:i w:val="0"/>
    </w:rPr>
  </w:style>
  <w:style w:type="character" w:customStyle="1" w:styleId="ListLabel3">
    <w:name w:val="ListLabel 3"/>
    <w:rPr>
      <w:rFonts w:cs="Courier New"/>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rPr>
  </w:style>
  <w:style w:type="paragraph" w:customStyle="1" w:styleId="Index">
    <w:name w:val="Index"/>
    <w:basedOn w:val="Normal"/>
    <w:pPr>
      <w:suppressLineNumbers/>
    </w:pPr>
    <w:rPr>
      <w:rFonts w:cs="Mangal"/>
    </w:rPr>
  </w:style>
  <w:style w:type="paragraph" w:customStyle="1" w:styleId="Default">
    <w:name w:val="Default"/>
    <w:pPr>
      <w:suppressAutoHyphens/>
      <w:spacing w:line="360" w:lineRule="auto"/>
      <w:jc w:val="both"/>
    </w:pPr>
    <w:rPr>
      <w:rFonts w:ascii="Arial" w:eastAsia="Calibri" w:hAnsi="Arial" w:cs="Arial"/>
      <w:color w:val="000000"/>
      <w:kern w:val="1"/>
      <w:sz w:val="24"/>
      <w:szCs w:val="24"/>
      <w:lang w:eastAsia="en-US"/>
    </w:rPr>
  </w:style>
  <w:style w:type="paragraph" w:styleId="ListParagraph">
    <w:name w:val="List Paragraph"/>
    <w:basedOn w:val="Normal"/>
    <w:qFormat/>
    <w:pPr>
      <w:spacing w:before="200" w:after="200"/>
      <w:ind w:left="720"/>
      <w:contextualSpacing/>
    </w:pPr>
  </w:style>
  <w:style w:type="paragraph" w:styleId="BalloonText">
    <w:name w:val="Balloon Text"/>
    <w:basedOn w:val="Normal"/>
    <w:rPr>
      <w:rFonts w:ascii="Tahoma" w:hAnsi="Tahoma" w:cs="Tahoma"/>
      <w:sz w:val="16"/>
      <w:szCs w:val="16"/>
    </w:rPr>
  </w:style>
  <w:style w:type="paragraph" w:styleId="NoSpacing">
    <w:name w:val="No Spacing"/>
    <w:qFormat/>
    <w:pPr>
      <w:suppressAutoHyphens/>
      <w:spacing w:line="360" w:lineRule="auto"/>
      <w:jc w:val="both"/>
    </w:pPr>
    <w:rPr>
      <w:rFonts w:ascii="Calibri" w:eastAsia="Calibri" w:hAnsi="Calibri" w:cs="font279"/>
      <w:kern w:val="1"/>
      <w:sz w:val="22"/>
      <w:szCs w:val="22"/>
      <w:lang w:eastAsia="en-US"/>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NormalWeb">
    <w:name w:val="Normal (Web)"/>
    <w:basedOn w:val="Normal"/>
    <w:pPr>
      <w:spacing w:before="280" w:after="375" w:line="360" w:lineRule="atLeast"/>
      <w:jc w:val="left"/>
    </w:pPr>
    <w:rPr>
      <w:rFonts w:ascii="Times New Roman" w:hAnsi="Times New Roman"/>
      <w:sz w:val="21"/>
      <w:szCs w:val="21"/>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customStyle="1" w:styleId="FrameContents">
    <w:name w:val="Frame Contents"/>
    <w:basedOn w:val="Normal"/>
  </w:style>
  <w:style w:type="character" w:styleId="CommentReference">
    <w:name w:val="annotation reference"/>
    <w:uiPriority w:val="99"/>
    <w:semiHidden/>
    <w:unhideWhenUsed/>
    <w:rsid w:val="00172C11"/>
    <w:rPr>
      <w:sz w:val="16"/>
      <w:szCs w:val="16"/>
    </w:rPr>
  </w:style>
  <w:style w:type="paragraph" w:styleId="CommentText">
    <w:name w:val="annotation text"/>
    <w:basedOn w:val="Normal"/>
    <w:link w:val="CommentTextChar"/>
    <w:uiPriority w:val="99"/>
    <w:semiHidden/>
    <w:unhideWhenUsed/>
    <w:rsid w:val="00172C11"/>
    <w:pPr>
      <w:spacing w:line="240" w:lineRule="auto"/>
      <w:jc w:val="left"/>
    </w:pPr>
    <w:rPr>
      <w:kern w:val="0"/>
      <w:sz w:val="20"/>
      <w:szCs w:val="20"/>
    </w:rPr>
  </w:style>
  <w:style w:type="character" w:customStyle="1" w:styleId="CommentTextChar1">
    <w:name w:val="Comment Text Char1"/>
    <w:uiPriority w:val="99"/>
    <w:semiHidden/>
    <w:rsid w:val="00172C11"/>
    <w:rPr>
      <w:rFonts w:ascii="Arial" w:hAnsi="Arial"/>
      <w:kern w:val="1"/>
    </w:rPr>
  </w:style>
  <w:style w:type="table" w:styleId="TableGrid">
    <w:name w:val="Table Grid"/>
    <w:basedOn w:val="TableNormal"/>
    <w:uiPriority w:val="59"/>
    <w:rsid w:val="00841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4F0BD3"/>
    <w:rPr>
      <w:rFonts w:ascii="Arial" w:hAnsi="Arial" w:cs="Arial"/>
      <w:b/>
      <w:kern w:val="1"/>
      <w:sz w:val="22"/>
      <w:szCs w:val="22"/>
    </w:rPr>
  </w:style>
  <w:style w:type="paragraph" w:styleId="TOC1">
    <w:name w:val="toc 1"/>
    <w:basedOn w:val="Normal"/>
    <w:next w:val="Normal"/>
    <w:autoRedefine/>
    <w:uiPriority w:val="39"/>
    <w:unhideWhenUsed/>
    <w:rsid w:val="00031ABC"/>
    <w:pPr>
      <w:tabs>
        <w:tab w:val="right" w:leader="dot" w:pos="10194"/>
      </w:tabs>
      <w:ind w:left="397" w:hanging="397"/>
      <w:jc w:val="left"/>
    </w:pPr>
  </w:style>
  <w:style w:type="paragraph" w:styleId="TOCHeading">
    <w:name w:val="TOC Heading"/>
    <w:basedOn w:val="Heading1"/>
    <w:next w:val="Normal"/>
    <w:uiPriority w:val="39"/>
    <w:unhideWhenUsed/>
    <w:qFormat/>
    <w:rsid w:val="00670A84"/>
    <w:pPr>
      <w:keepLines/>
      <w:spacing w:before="480"/>
      <w:jc w:val="left"/>
      <w:outlineLvl w:val="9"/>
    </w:pPr>
    <w:rPr>
      <w:color w:val="365F91"/>
      <w:kern w:val="0"/>
      <w:sz w:val="28"/>
      <w:szCs w:val="28"/>
      <w:lang w:val="en-US" w:eastAsia="ja-JP"/>
    </w:rPr>
  </w:style>
  <w:style w:type="character" w:styleId="FollowedHyperlink">
    <w:name w:val="FollowedHyperlink"/>
    <w:uiPriority w:val="99"/>
    <w:semiHidden/>
    <w:unhideWhenUsed/>
    <w:rsid w:val="008268CA"/>
    <w:rPr>
      <w:color w:val="800080"/>
      <w:u w:val="single"/>
    </w:rPr>
  </w:style>
  <w:style w:type="paragraph" w:customStyle="1" w:styleId="BulletList1numbered">
    <w:name w:val="Bullet List 1 (numbered)"/>
    <w:rsid w:val="00DF6247"/>
    <w:pPr>
      <w:numPr>
        <w:numId w:val="46"/>
      </w:numPr>
      <w:suppressAutoHyphens/>
      <w:autoSpaceDN w:val="0"/>
      <w:spacing w:before="120" w:after="120" w:line="320" w:lineRule="exact"/>
      <w:textAlignment w:val="baseline"/>
    </w:pPr>
    <w:rPr>
      <w:rFonts w:ascii="Arial" w:hAnsi="Arial"/>
      <w:sz w:val="24"/>
      <w:szCs w:val="24"/>
      <w:lang w:eastAsia="en-US"/>
    </w:rPr>
  </w:style>
  <w:style w:type="numbering" w:customStyle="1" w:styleId="LFO26">
    <w:name w:val="LFO26"/>
    <w:basedOn w:val="NoList"/>
    <w:rsid w:val="00DF6247"/>
    <w:pPr>
      <w:numPr>
        <w:numId w:val="46"/>
      </w:numPr>
    </w:pPr>
  </w:style>
  <w:style w:type="paragraph" w:styleId="CommentSubject">
    <w:name w:val="annotation subject"/>
    <w:basedOn w:val="CommentText"/>
    <w:next w:val="CommentText"/>
    <w:link w:val="CommentSubjectChar1"/>
    <w:uiPriority w:val="99"/>
    <w:semiHidden/>
    <w:unhideWhenUsed/>
    <w:rsid w:val="00DA2EC5"/>
    <w:pPr>
      <w:jc w:val="both"/>
    </w:pPr>
    <w:rPr>
      <w:b/>
      <w:bCs/>
      <w:kern w:val="1"/>
    </w:rPr>
  </w:style>
  <w:style w:type="character" w:customStyle="1" w:styleId="CommentSubjectChar1">
    <w:name w:val="Comment Subject Char1"/>
    <w:basedOn w:val="CommentTextChar"/>
    <w:link w:val="CommentSubject"/>
    <w:uiPriority w:val="99"/>
    <w:semiHidden/>
    <w:rsid w:val="00DA2EC5"/>
    <w:rPr>
      <w:rFonts w:ascii="Arial" w:eastAsia="Times New Roman" w:hAnsi="Arial" w:cs="Times New Roman"/>
      <w:b/>
      <w:bCs/>
      <w:kern w:val="1"/>
      <w:sz w:val="20"/>
      <w:szCs w:val="20"/>
      <w:lang w:eastAsia="en-GB"/>
    </w:rPr>
  </w:style>
  <w:style w:type="table" w:styleId="GridTable1Light">
    <w:name w:val="Grid Table 1 Light"/>
    <w:basedOn w:val="TableNormal"/>
    <w:uiPriority w:val="46"/>
    <w:rsid w:val="0055124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EA7A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454E7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363900">
      <w:bodyDiv w:val="1"/>
      <w:marLeft w:val="0"/>
      <w:marRight w:val="0"/>
      <w:marTop w:val="0"/>
      <w:marBottom w:val="0"/>
      <w:divBdr>
        <w:top w:val="none" w:sz="0" w:space="0" w:color="auto"/>
        <w:left w:val="none" w:sz="0" w:space="0" w:color="auto"/>
        <w:bottom w:val="none" w:sz="0" w:space="0" w:color="auto"/>
        <w:right w:val="none" w:sz="0" w:space="0" w:color="auto"/>
      </w:divBdr>
    </w:div>
    <w:div w:id="56618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nelccg.askus@nhs.net" TargetMode="External"/><Relationship Id="rId18" Type="http://schemas.openxmlformats.org/officeDocument/2006/relationships/hyperlink" Target="http://www.networks.nhs.uk/networks/news/nhs-continuing-healthcare-faqs-publish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national-framework-for-nhs-continuing-healthcare-and-nhs-funded-nursing-care" TargetMode="External"/><Relationship Id="rId17" Type="http://schemas.openxmlformats.org/officeDocument/2006/relationships/hyperlink" Target="https://www.gov.uk/government/publications/national-framework-for-nhs-continuing-healthcare-and-nhs-funded-nursing-care" TargetMode="External"/><Relationship Id="rId2" Type="http://schemas.openxmlformats.org/officeDocument/2006/relationships/numbering" Target="numbering.xml"/><Relationship Id="rId16" Type="http://schemas.openxmlformats.org/officeDocument/2006/relationships/hyperlink" Target="https://portal.yhcs.org.uk/documents/5665646/7753725/Operational+Policy+for+NELCCG+Personal+Health+Budgets+in+NHS+Continuing+Healthcare/3c392d55-ab76-4c83-9049-7bbe776dc27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yhcs.org.uk/documents/5665646/17351999/EIA+Continuing+Healthcare+Overarching+Policy/cc5484b7-845f-4117-af96-d473b181b34a" TargetMode="External"/><Relationship Id="rId5" Type="http://schemas.openxmlformats.org/officeDocument/2006/relationships/webSettings" Target="webSettings.xml"/><Relationship Id="rId15" Type="http://schemas.openxmlformats.org/officeDocument/2006/relationships/hyperlink" Target="https://portal.nyhcsu.org.uk/documents/5665646/5860313/Choice+Policy/58fc2c8a-aec5-4960-9e45-2f929640d4c3"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ortal.yhcs.org.uk/documents/5665646/5860313/Mental+Capacity+Act+2005+and++Deprivation+of+Liberty++Policy/5d61d767-cf66-4357-a735-e2f90d75c53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5E371-B2EF-4AB5-BC5E-B354911C9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25</Pages>
  <Words>9519</Words>
  <Characters>54261</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eMBED</Company>
  <LinksUpToDate>false</LinksUpToDate>
  <CharactersWithSpaces>63653</CharactersWithSpaces>
  <SharedDoc>false</SharedDoc>
  <HLinks>
    <vt:vector size="210" baseType="variant">
      <vt:variant>
        <vt:i4>917599</vt:i4>
      </vt:variant>
      <vt:variant>
        <vt:i4>189</vt:i4>
      </vt:variant>
      <vt:variant>
        <vt:i4>0</vt:i4>
      </vt:variant>
      <vt:variant>
        <vt:i4>5</vt:i4>
      </vt:variant>
      <vt:variant>
        <vt:lpwstr>http://www.networks.nhs.uk/networks/news/nhs-continuing-healthcare-faqs-published</vt:lpwstr>
      </vt:variant>
      <vt:variant>
        <vt:lpwstr/>
      </vt:variant>
      <vt:variant>
        <vt:i4>8126562</vt:i4>
      </vt:variant>
      <vt:variant>
        <vt:i4>186</vt:i4>
      </vt:variant>
      <vt:variant>
        <vt:i4>0</vt:i4>
      </vt:variant>
      <vt:variant>
        <vt:i4>5</vt:i4>
      </vt:variant>
      <vt:variant>
        <vt:lpwstr>https://www.gov.uk/government/publications/national-framework-for-nhs-continuing-healthcare-and-nhs-funded-nursing-care</vt:lpwstr>
      </vt:variant>
      <vt:variant>
        <vt:lpwstr/>
      </vt:variant>
      <vt:variant>
        <vt:i4>655368</vt:i4>
      </vt:variant>
      <vt:variant>
        <vt:i4>183</vt:i4>
      </vt:variant>
      <vt:variant>
        <vt:i4>0</vt:i4>
      </vt:variant>
      <vt:variant>
        <vt:i4>5</vt:i4>
      </vt:variant>
      <vt:variant>
        <vt:lpwstr>https://portal.yhcs.org.uk/documents/5665646/7753725/Operational+Policy+for+NELCCG+Personal+Health+Budgets+in+NHS+Continuing+Healthcare/3c392d55-ab76-4c83-9049-7bbe776dc27c</vt:lpwstr>
      </vt:variant>
      <vt:variant>
        <vt:lpwstr/>
      </vt:variant>
      <vt:variant>
        <vt:i4>1835031</vt:i4>
      </vt:variant>
      <vt:variant>
        <vt:i4>180</vt:i4>
      </vt:variant>
      <vt:variant>
        <vt:i4>0</vt:i4>
      </vt:variant>
      <vt:variant>
        <vt:i4>5</vt:i4>
      </vt:variant>
      <vt:variant>
        <vt:lpwstr>https://portal.nyhcsu.org.uk/documents/5665646/5860313/Choice+Policy/58fc2c8a-aec5-4960-9e45-2f929640d4c3</vt:lpwstr>
      </vt:variant>
      <vt:variant>
        <vt:lpwstr/>
      </vt:variant>
      <vt:variant>
        <vt:i4>6684783</vt:i4>
      </vt:variant>
      <vt:variant>
        <vt:i4>177</vt:i4>
      </vt:variant>
      <vt:variant>
        <vt:i4>0</vt:i4>
      </vt:variant>
      <vt:variant>
        <vt:i4>5</vt:i4>
      </vt:variant>
      <vt:variant>
        <vt:lpwstr>https://portal.yhcs.org.uk/documents/5665646/5860313/Mental+Capacity+Act+2005+and++Deprivation+of+Liberty++Policy/5d61d767-cf66-4357-a735-e2f90d75c531</vt:lpwstr>
      </vt:variant>
      <vt:variant>
        <vt:lpwstr/>
      </vt:variant>
      <vt:variant>
        <vt:i4>4718625</vt:i4>
      </vt:variant>
      <vt:variant>
        <vt:i4>174</vt:i4>
      </vt:variant>
      <vt:variant>
        <vt:i4>0</vt:i4>
      </vt:variant>
      <vt:variant>
        <vt:i4>5</vt:i4>
      </vt:variant>
      <vt:variant>
        <vt:lpwstr>mailto:nelccg.askus@nhs.net</vt:lpwstr>
      </vt:variant>
      <vt:variant>
        <vt:lpwstr/>
      </vt:variant>
      <vt:variant>
        <vt:i4>8126562</vt:i4>
      </vt:variant>
      <vt:variant>
        <vt:i4>171</vt:i4>
      </vt:variant>
      <vt:variant>
        <vt:i4>0</vt:i4>
      </vt:variant>
      <vt:variant>
        <vt:i4>5</vt:i4>
      </vt:variant>
      <vt:variant>
        <vt:lpwstr>https://www.gov.uk/government/publications/national-framework-for-nhs-continuing-healthcare-and-nhs-funded-nursing-care</vt:lpwstr>
      </vt:variant>
      <vt:variant>
        <vt:lpwstr/>
      </vt:variant>
      <vt:variant>
        <vt:i4>1441841</vt:i4>
      </vt:variant>
      <vt:variant>
        <vt:i4>164</vt:i4>
      </vt:variant>
      <vt:variant>
        <vt:i4>0</vt:i4>
      </vt:variant>
      <vt:variant>
        <vt:i4>5</vt:i4>
      </vt:variant>
      <vt:variant>
        <vt:lpwstr/>
      </vt:variant>
      <vt:variant>
        <vt:lpwstr>_Toc521074279</vt:lpwstr>
      </vt:variant>
      <vt:variant>
        <vt:i4>1441841</vt:i4>
      </vt:variant>
      <vt:variant>
        <vt:i4>158</vt:i4>
      </vt:variant>
      <vt:variant>
        <vt:i4>0</vt:i4>
      </vt:variant>
      <vt:variant>
        <vt:i4>5</vt:i4>
      </vt:variant>
      <vt:variant>
        <vt:lpwstr/>
      </vt:variant>
      <vt:variant>
        <vt:lpwstr>_Toc521074278</vt:lpwstr>
      </vt:variant>
      <vt:variant>
        <vt:i4>1441841</vt:i4>
      </vt:variant>
      <vt:variant>
        <vt:i4>152</vt:i4>
      </vt:variant>
      <vt:variant>
        <vt:i4>0</vt:i4>
      </vt:variant>
      <vt:variant>
        <vt:i4>5</vt:i4>
      </vt:variant>
      <vt:variant>
        <vt:lpwstr/>
      </vt:variant>
      <vt:variant>
        <vt:lpwstr>_Toc521074277</vt:lpwstr>
      </vt:variant>
      <vt:variant>
        <vt:i4>1441841</vt:i4>
      </vt:variant>
      <vt:variant>
        <vt:i4>146</vt:i4>
      </vt:variant>
      <vt:variant>
        <vt:i4>0</vt:i4>
      </vt:variant>
      <vt:variant>
        <vt:i4>5</vt:i4>
      </vt:variant>
      <vt:variant>
        <vt:lpwstr/>
      </vt:variant>
      <vt:variant>
        <vt:lpwstr>_Toc521074276</vt:lpwstr>
      </vt:variant>
      <vt:variant>
        <vt:i4>1441841</vt:i4>
      </vt:variant>
      <vt:variant>
        <vt:i4>140</vt:i4>
      </vt:variant>
      <vt:variant>
        <vt:i4>0</vt:i4>
      </vt:variant>
      <vt:variant>
        <vt:i4>5</vt:i4>
      </vt:variant>
      <vt:variant>
        <vt:lpwstr/>
      </vt:variant>
      <vt:variant>
        <vt:lpwstr>_Toc521074275</vt:lpwstr>
      </vt:variant>
      <vt:variant>
        <vt:i4>1441841</vt:i4>
      </vt:variant>
      <vt:variant>
        <vt:i4>134</vt:i4>
      </vt:variant>
      <vt:variant>
        <vt:i4>0</vt:i4>
      </vt:variant>
      <vt:variant>
        <vt:i4>5</vt:i4>
      </vt:variant>
      <vt:variant>
        <vt:lpwstr/>
      </vt:variant>
      <vt:variant>
        <vt:lpwstr>_Toc521074274</vt:lpwstr>
      </vt:variant>
      <vt:variant>
        <vt:i4>1441841</vt:i4>
      </vt:variant>
      <vt:variant>
        <vt:i4>128</vt:i4>
      </vt:variant>
      <vt:variant>
        <vt:i4>0</vt:i4>
      </vt:variant>
      <vt:variant>
        <vt:i4>5</vt:i4>
      </vt:variant>
      <vt:variant>
        <vt:lpwstr/>
      </vt:variant>
      <vt:variant>
        <vt:lpwstr>_Toc521074273</vt:lpwstr>
      </vt:variant>
      <vt:variant>
        <vt:i4>1441841</vt:i4>
      </vt:variant>
      <vt:variant>
        <vt:i4>122</vt:i4>
      </vt:variant>
      <vt:variant>
        <vt:i4>0</vt:i4>
      </vt:variant>
      <vt:variant>
        <vt:i4>5</vt:i4>
      </vt:variant>
      <vt:variant>
        <vt:lpwstr/>
      </vt:variant>
      <vt:variant>
        <vt:lpwstr>_Toc521074272</vt:lpwstr>
      </vt:variant>
      <vt:variant>
        <vt:i4>1441841</vt:i4>
      </vt:variant>
      <vt:variant>
        <vt:i4>116</vt:i4>
      </vt:variant>
      <vt:variant>
        <vt:i4>0</vt:i4>
      </vt:variant>
      <vt:variant>
        <vt:i4>5</vt:i4>
      </vt:variant>
      <vt:variant>
        <vt:lpwstr/>
      </vt:variant>
      <vt:variant>
        <vt:lpwstr>_Toc521074271</vt:lpwstr>
      </vt:variant>
      <vt:variant>
        <vt:i4>1441841</vt:i4>
      </vt:variant>
      <vt:variant>
        <vt:i4>110</vt:i4>
      </vt:variant>
      <vt:variant>
        <vt:i4>0</vt:i4>
      </vt:variant>
      <vt:variant>
        <vt:i4>5</vt:i4>
      </vt:variant>
      <vt:variant>
        <vt:lpwstr/>
      </vt:variant>
      <vt:variant>
        <vt:lpwstr>_Toc521074270</vt:lpwstr>
      </vt:variant>
      <vt:variant>
        <vt:i4>1507377</vt:i4>
      </vt:variant>
      <vt:variant>
        <vt:i4>104</vt:i4>
      </vt:variant>
      <vt:variant>
        <vt:i4>0</vt:i4>
      </vt:variant>
      <vt:variant>
        <vt:i4>5</vt:i4>
      </vt:variant>
      <vt:variant>
        <vt:lpwstr/>
      </vt:variant>
      <vt:variant>
        <vt:lpwstr>_Toc521074269</vt:lpwstr>
      </vt:variant>
      <vt:variant>
        <vt:i4>1507377</vt:i4>
      </vt:variant>
      <vt:variant>
        <vt:i4>98</vt:i4>
      </vt:variant>
      <vt:variant>
        <vt:i4>0</vt:i4>
      </vt:variant>
      <vt:variant>
        <vt:i4>5</vt:i4>
      </vt:variant>
      <vt:variant>
        <vt:lpwstr/>
      </vt:variant>
      <vt:variant>
        <vt:lpwstr>_Toc521074268</vt:lpwstr>
      </vt:variant>
      <vt:variant>
        <vt:i4>1507377</vt:i4>
      </vt:variant>
      <vt:variant>
        <vt:i4>92</vt:i4>
      </vt:variant>
      <vt:variant>
        <vt:i4>0</vt:i4>
      </vt:variant>
      <vt:variant>
        <vt:i4>5</vt:i4>
      </vt:variant>
      <vt:variant>
        <vt:lpwstr/>
      </vt:variant>
      <vt:variant>
        <vt:lpwstr>_Toc521074267</vt:lpwstr>
      </vt:variant>
      <vt:variant>
        <vt:i4>1507377</vt:i4>
      </vt:variant>
      <vt:variant>
        <vt:i4>86</vt:i4>
      </vt:variant>
      <vt:variant>
        <vt:i4>0</vt:i4>
      </vt:variant>
      <vt:variant>
        <vt:i4>5</vt:i4>
      </vt:variant>
      <vt:variant>
        <vt:lpwstr/>
      </vt:variant>
      <vt:variant>
        <vt:lpwstr>_Toc521074266</vt:lpwstr>
      </vt:variant>
      <vt:variant>
        <vt:i4>1507377</vt:i4>
      </vt:variant>
      <vt:variant>
        <vt:i4>80</vt:i4>
      </vt:variant>
      <vt:variant>
        <vt:i4>0</vt:i4>
      </vt:variant>
      <vt:variant>
        <vt:i4>5</vt:i4>
      </vt:variant>
      <vt:variant>
        <vt:lpwstr/>
      </vt:variant>
      <vt:variant>
        <vt:lpwstr>_Toc521074265</vt:lpwstr>
      </vt:variant>
      <vt:variant>
        <vt:i4>1507377</vt:i4>
      </vt:variant>
      <vt:variant>
        <vt:i4>74</vt:i4>
      </vt:variant>
      <vt:variant>
        <vt:i4>0</vt:i4>
      </vt:variant>
      <vt:variant>
        <vt:i4>5</vt:i4>
      </vt:variant>
      <vt:variant>
        <vt:lpwstr/>
      </vt:variant>
      <vt:variant>
        <vt:lpwstr>_Toc521074264</vt:lpwstr>
      </vt:variant>
      <vt:variant>
        <vt:i4>1507377</vt:i4>
      </vt:variant>
      <vt:variant>
        <vt:i4>68</vt:i4>
      </vt:variant>
      <vt:variant>
        <vt:i4>0</vt:i4>
      </vt:variant>
      <vt:variant>
        <vt:i4>5</vt:i4>
      </vt:variant>
      <vt:variant>
        <vt:lpwstr/>
      </vt:variant>
      <vt:variant>
        <vt:lpwstr>_Toc521074263</vt:lpwstr>
      </vt:variant>
      <vt:variant>
        <vt:i4>1507377</vt:i4>
      </vt:variant>
      <vt:variant>
        <vt:i4>62</vt:i4>
      </vt:variant>
      <vt:variant>
        <vt:i4>0</vt:i4>
      </vt:variant>
      <vt:variant>
        <vt:i4>5</vt:i4>
      </vt:variant>
      <vt:variant>
        <vt:lpwstr/>
      </vt:variant>
      <vt:variant>
        <vt:lpwstr>_Toc521074262</vt:lpwstr>
      </vt:variant>
      <vt:variant>
        <vt:i4>1507377</vt:i4>
      </vt:variant>
      <vt:variant>
        <vt:i4>56</vt:i4>
      </vt:variant>
      <vt:variant>
        <vt:i4>0</vt:i4>
      </vt:variant>
      <vt:variant>
        <vt:i4>5</vt:i4>
      </vt:variant>
      <vt:variant>
        <vt:lpwstr/>
      </vt:variant>
      <vt:variant>
        <vt:lpwstr>_Toc521074261</vt:lpwstr>
      </vt:variant>
      <vt:variant>
        <vt:i4>1507377</vt:i4>
      </vt:variant>
      <vt:variant>
        <vt:i4>50</vt:i4>
      </vt:variant>
      <vt:variant>
        <vt:i4>0</vt:i4>
      </vt:variant>
      <vt:variant>
        <vt:i4>5</vt:i4>
      </vt:variant>
      <vt:variant>
        <vt:lpwstr/>
      </vt:variant>
      <vt:variant>
        <vt:lpwstr>_Toc521074260</vt:lpwstr>
      </vt:variant>
      <vt:variant>
        <vt:i4>1310769</vt:i4>
      </vt:variant>
      <vt:variant>
        <vt:i4>44</vt:i4>
      </vt:variant>
      <vt:variant>
        <vt:i4>0</vt:i4>
      </vt:variant>
      <vt:variant>
        <vt:i4>5</vt:i4>
      </vt:variant>
      <vt:variant>
        <vt:lpwstr/>
      </vt:variant>
      <vt:variant>
        <vt:lpwstr>_Toc521074259</vt:lpwstr>
      </vt:variant>
      <vt:variant>
        <vt:i4>1310769</vt:i4>
      </vt:variant>
      <vt:variant>
        <vt:i4>38</vt:i4>
      </vt:variant>
      <vt:variant>
        <vt:i4>0</vt:i4>
      </vt:variant>
      <vt:variant>
        <vt:i4>5</vt:i4>
      </vt:variant>
      <vt:variant>
        <vt:lpwstr/>
      </vt:variant>
      <vt:variant>
        <vt:lpwstr>_Toc521074258</vt:lpwstr>
      </vt:variant>
      <vt:variant>
        <vt:i4>1310769</vt:i4>
      </vt:variant>
      <vt:variant>
        <vt:i4>32</vt:i4>
      </vt:variant>
      <vt:variant>
        <vt:i4>0</vt:i4>
      </vt:variant>
      <vt:variant>
        <vt:i4>5</vt:i4>
      </vt:variant>
      <vt:variant>
        <vt:lpwstr/>
      </vt:variant>
      <vt:variant>
        <vt:lpwstr>_Toc521074257</vt:lpwstr>
      </vt:variant>
      <vt:variant>
        <vt:i4>1310769</vt:i4>
      </vt:variant>
      <vt:variant>
        <vt:i4>26</vt:i4>
      </vt:variant>
      <vt:variant>
        <vt:i4>0</vt:i4>
      </vt:variant>
      <vt:variant>
        <vt:i4>5</vt:i4>
      </vt:variant>
      <vt:variant>
        <vt:lpwstr/>
      </vt:variant>
      <vt:variant>
        <vt:lpwstr>_Toc521074256</vt:lpwstr>
      </vt:variant>
      <vt:variant>
        <vt:i4>1310769</vt:i4>
      </vt:variant>
      <vt:variant>
        <vt:i4>20</vt:i4>
      </vt:variant>
      <vt:variant>
        <vt:i4>0</vt:i4>
      </vt:variant>
      <vt:variant>
        <vt:i4>5</vt:i4>
      </vt:variant>
      <vt:variant>
        <vt:lpwstr/>
      </vt:variant>
      <vt:variant>
        <vt:lpwstr>_Toc521074255</vt:lpwstr>
      </vt:variant>
      <vt:variant>
        <vt:i4>1310769</vt:i4>
      </vt:variant>
      <vt:variant>
        <vt:i4>14</vt:i4>
      </vt:variant>
      <vt:variant>
        <vt:i4>0</vt:i4>
      </vt:variant>
      <vt:variant>
        <vt:i4>5</vt:i4>
      </vt:variant>
      <vt:variant>
        <vt:lpwstr/>
      </vt:variant>
      <vt:variant>
        <vt:lpwstr>_Toc521074254</vt:lpwstr>
      </vt:variant>
      <vt:variant>
        <vt:i4>1310769</vt:i4>
      </vt:variant>
      <vt:variant>
        <vt:i4>8</vt:i4>
      </vt:variant>
      <vt:variant>
        <vt:i4>0</vt:i4>
      </vt:variant>
      <vt:variant>
        <vt:i4>5</vt:i4>
      </vt:variant>
      <vt:variant>
        <vt:lpwstr/>
      </vt:variant>
      <vt:variant>
        <vt:lpwstr>_Toc521074253</vt:lpwstr>
      </vt:variant>
      <vt:variant>
        <vt:i4>1310769</vt:i4>
      </vt:variant>
      <vt:variant>
        <vt:i4>2</vt:i4>
      </vt:variant>
      <vt:variant>
        <vt:i4>0</vt:i4>
      </vt:variant>
      <vt:variant>
        <vt:i4>5</vt:i4>
      </vt:variant>
      <vt:variant>
        <vt:lpwstr/>
      </vt:variant>
      <vt:variant>
        <vt:lpwstr>_Toc521074252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Warburton</dc:creator>
  <cp:keywords/>
  <cp:lastModifiedBy>Jeanette Harris (CCG)</cp:lastModifiedBy>
  <cp:revision>14</cp:revision>
  <cp:lastPrinted>1900-01-01T00:00:00Z</cp:lastPrinted>
  <dcterms:created xsi:type="dcterms:W3CDTF">2021-11-26T09:27:00Z</dcterms:created>
  <dcterms:modified xsi:type="dcterms:W3CDTF">2021-11-26T10:37:00Z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NLNHS &amp; NELCTP</vt:lpwstr>
  </property>
  <property fmtid="{D5CDD505-2E9C-101B-9397-08002B2CF9AE}" pid="4" name="DocSecurity">
    <vt:r8>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